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50.8661417322827"/>
        <w:rPr/>
        <w:sectPr>
          <w:headerReference r:id="rId7" w:type="default"/>
          <w:footerReference r:id="rId8" w:type="default"/>
          <w:pgSz w:h="16838" w:w="11906" w:orient="portrait"/>
          <w:pgMar w:bottom="1417" w:top="1810" w:left="1701" w:right="1701" w:header="227" w:footer="0"/>
          <w:pgNumType w:start="1"/>
        </w:sectPr>
      </w:pPr>
      <w:r w:rsidDel="00000000" w:rsidR="00000000" w:rsidRPr="00000000">
        <w:rPr>
          <w:rtl w:val="0"/>
        </w:rPr>
      </w:r>
    </w:p>
    <w:p w:rsidR="00000000" w:rsidDel="00000000" w:rsidP="00000000" w:rsidRDefault="00000000" w:rsidRPr="00000000" w14:paraId="00000002">
      <w:pPr>
        <w:pStyle w:val="Heading1"/>
        <w:keepNext w:val="0"/>
        <w:keepLines w:val="0"/>
        <w:tabs>
          <w:tab w:val="left" w:leader="none" w:pos="888"/>
        </w:tabs>
        <w:spacing w:after="240" w:before="240" w:line="288" w:lineRule="auto"/>
        <w:jc w:val="both"/>
        <w:rPr>
          <w:rFonts w:ascii="Arial" w:cs="Arial" w:eastAsia="Arial" w:hAnsi="Arial"/>
          <w:sz w:val="46"/>
          <w:szCs w:val="46"/>
        </w:rPr>
      </w:pPr>
      <w:bookmarkStart w:colFirst="0" w:colLast="0" w:name="_heading=h.u8hucip2x6ue" w:id="0"/>
      <w:bookmarkEnd w:id="0"/>
      <w:r w:rsidDel="00000000" w:rsidR="00000000" w:rsidRPr="00000000">
        <w:rPr>
          <w:rFonts w:ascii="Arial" w:cs="Arial" w:eastAsia="Arial" w:hAnsi="Arial"/>
          <w:color w:val="333333"/>
          <w:sz w:val="46"/>
          <w:szCs w:val="46"/>
          <w:rtl w:val="0"/>
        </w:rPr>
        <w:t xml:space="preserve">El Ágora Luis Toca acoge este jueves una charla sobre la historia y el impacto del Pantano del Ebro</w:t>
      </w:r>
      <w:r w:rsidDel="00000000" w:rsidR="00000000" w:rsidRPr="00000000">
        <w:rPr>
          <w:rtl w:val="0"/>
        </w:rPr>
      </w:r>
    </w:p>
    <w:p w:rsidR="00000000" w:rsidDel="00000000" w:rsidP="00000000" w:rsidRDefault="00000000" w:rsidRPr="00000000" w14:paraId="00000003">
      <w:pPr>
        <w:tabs>
          <w:tab w:val="left" w:leader="none" w:pos="888"/>
        </w:tabs>
        <w:rPr/>
      </w:pPr>
      <w:r w:rsidDel="00000000" w:rsidR="00000000" w:rsidRPr="00000000">
        <w:rPr>
          <w:rtl w:val="0"/>
        </w:rPr>
      </w:r>
    </w:p>
    <w:p w:rsidR="00000000" w:rsidDel="00000000" w:rsidP="00000000" w:rsidRDefault="00000000" w:rsidRPr="00000000" w14:paraId="00000004">
      <w:pPr>
        <w:numPr>
          <w:ilvl w:val="0"/>
          <w:numId w:val="1"/>
        </w:numPr>
        <w:tabs>
          <w:tab w:val="left" w:leader="none" w:pos="851"/>
        </w:tabs>
        <w:spacing w:after="240" w:before="240" w:line="240" w:lineRule="auto"/>
        <w:ind w:left="720" w:hanging="360"/>
        <w:rPr>
          <w:rFonts w:ascii="Arial" w:cs="Arial" w:eastAsia="Arial" w:hAnsi="Arial"/>
          <w:sz w:val="30"/>
          <w:szCs w:val="30"/>
        </w:rPr>
      </w:pPr>
      <w:r w:rsidDel="00000000" w:rsidR="00000000" w:rsidRPr="00000000">
        <w:rPr>
          <w:rFonts w:ascii="Arial" w:cs="Arial" w:eastAsia="Arial" w:hAnsi="Arial"/>
          <w:b w:val="1"/>
          <w:bCs w:val="1"/>
          <w:sz w:val="30"/>
          <w:szCs w:val="30"/>
          <w:rtl w:val="0"/>
        </w:rPr>
        <w:t xml:space="preserve">El investigador Rafael de Andrés Seco analizará el origen, las consecuencias sociales y el papel de esta infraestructura hidráulica en el desarrollo del valle de Campoo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181" w:firstLine="0"/>
        <w:jc w:val="both"/>
        <w:rPr>
          <w:rFonts w:ascii="Arial Narrow" w:cs="Arial Narrow" w:eastAsia="Arial Narrow" w:hAnsi="Arial Narrow"/>
          <w:b w:val="0"/>
          <w:bCs w:val="0"/>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1" w:firstLine="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u w:val="single"/>
          <w:rtl w:val="0"/>
        </w:rPr>
        <w:t xml:space="preserve">9 </w:t>
      </w:r>
      <w:r w:rsidDel="00000000" w:rsidR="00000000" w:rsidRPr="00000000">
        <w:rPr>
          <w:rFonts w:ascii="Arial Narrow" w:cs="Arial Narrow" w:eastAsia="Arial Narrow" w:hAnsi="Arial Narrow"/>
          <w:b w:val="0"/>
          <w:bCs w:val="0"/>
          <w:i w:val="0"/>
          <w:iCs w:val="0"/>
          <w:smallCaps w:val="0"/>
          <w:strike w:val="0"/>
          <w:color w:val="000000"/>
          <w:sz w:val="28"/>
          <w:szCs w:val="28"/>
          <w:u w:val="single"/>
          <w:shd w:fill="auto" w:val="clear"/>
          <w:vertAlign w:val="baseline"/>
          <w:rtl w:val="0"/>
        </w:rPr>
        <w:t xml:space="preserve">de</w:t>
      </w:r>
      <w:r w:rsidDel="00000000" w:rsidR="00000000" w:rsidRPr="00000000">
        <w:rPr>
          <w:rFonts w:ascii="Arial Narrow" w:cs="Arial Narrow" w:eastAsia="Arial Narrow" w:hAnsi="Arial Narrow"/>
          <w:sz w:val="28"/>
          <w:szCs w:val="28"/>
          <w:u w:val="single"/>
          <w:rtl w:val="0"/>
        </w:rPr>
        <w:t xml:space="preserve"> marzo </w:t>
      </w:r>
      <w:r w:rsidDel="00000000" w:rsidR="00000000" w:rsidRPr="00000000">
        <w:rPr>
          <w:rFonts w:ascii="Arial Narrow" w:cs="Arial Narrow" w:eastAsia="Arial Narrow" w:hAnsi="Arial Narrow"/>
          <w:b w:val="0"/>
          <w:bCs w:val="0"/>
          <w:i w:val="0"/>
          <w:iCs w:val="0"/>
          <w:smallCaps w:val="0"/>
          <w:strike w:val="0"/>
          <w:color w:val="000000"/>
          <w:sz w:val="28"/>
          <w:szCs w:val="28"/>
          <w:u w:val="single"/>
          <w:shd w:fill="auto" w:val="clear"/>
          <w:vertAlign w:val="baseline"/>
          <w:rtl w:val="0"/>
        </w:rPr>
        <w:t xml:space="preserve">202</w:t>
      </w:r>
      <w:r w:rsidDel="00000000" w:rsidR="00000000" w:rsidRPr="00000000">
        <w:rPr>
          <w:rFonts w:ascii="Arial Narrow" w:cs="Arial Narrow" w:eastAsia="Arial Narrow" w:hAnsi="Arial Narrow"/>
          <w:sz w:val="28"/>
          <w:szCs w:val="28"/>
          <w:u w:val="single"/>
          <w:rtl w:val="0"/>
        </w:rPr>
        <w:t xml:space="preserve">6</w:t>
      </w:r>
      <w:r w:rsidDel="00000000" w:rsidR="00000000" w:rsidRPr="00000000">
        <w:rPr>
          <w:rFonts w:ascii="Arial Narrow" w:cs="Arial Narrow" w:eastAsia="Arial Narrow" w:hAnsi="Arial Narrow"/>
          <w:b w:val="0"/>
          <w:bCs w:val="0"/>
          <w:i w:val="0"/>
          <w:iCs w:val="0"/>
          <w:smallCaps w:val="0"/>
          <w:strike w:val="0"/>
          <w:color w:val="000000"/>
          <w:sz w:val="28"/>
          <w:szCs w:val="28"/>
          <w:u w:val="singl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Arial Narrow" w:cs="Arial Narrow" w:eastAsia="Arial Narrow" w:hAnsi="Arial Narrow"/>
          <w:sz w:val="28"/>
          <w:szCs w:val="28"/>
          <w:rtl w:val="0"/>
        </w:rPr>
        <w:t xml:space="preserve">El espacio </w:t>
      </w:r>
      <w:r w:rsidDel="00000000" w:rsidR="00000000" w:rsidRPr="00000000">
        <w:rPr>
          <w:rFonts w:ascii="Arial Narrow" w:cs="Arial Narrow" w:eastAsia="Arial Narrow" w:hAnsi="Arial Narrow"/>
          <w:b w:val="1"/>
          <w:bCs w:val="1"/>
          <w:sz w:val="28"/>
          <w:szCs w:val="28"/>
          <w:rtl w:val="0"/>
        </w:rPr>
        <w:t xml:space="preserve">Ágora Solidaria Cultura y Memoria Luis Toca</w:t>
      </w:r>
      <w:r w:rsidDel="00000000" w:rsidR="00000000" w:rsidRPr="00000000">
        <w:rPr>
          <w:rFonts w:ascii="Arial Narrow" w:cs="Arial Narrow" w:eastAsia="Arial Narrow" w:hAnsi="Arial Narrow"/>
          <w:sz w:val="28"/>
          <w:szCs w:val="28"/>
          <w:rtl w:val="0"/>
        </w:rPr>
        <w:t xml:space="preserve"> de Santander acogerá el próximo </w:t>
      </w:r>
      <w:r w:rsidDel="00000000" w:rsidR="00000000" w:rsidRPr="00000000">
        <w:rPr>
          <w:rFonts w:ascii="Arial Narrow" w:cs="Arial Narrow" w:eastAsia="Arial Narrow" w:hAnsi="Arial Narrow"/>
          <w:b w:val="1"/>
          <w:bCs w:val="1"/>
          <w:sz w:val="28"/>
          <w:szCs w:val="28"/>
          <w:rtl w:val="0"/>
        </w:rPr>
        <w:t xml:space="preserve">jueves 12 de marzo a las 19.00 horas</w:t>
      </w:r>
      <w:r w:rsidDel="00000000" w:rsidR="00000000" w:rsidRPr="00000000">
        <w:rPr>
          <w:rFonts w:ascii="Arial Narrow" w:cs="Arial Narrow" w:eastAsia="Arial Narrow" w:hAnsi="Arial Narrow"/>
          <w:sz w:val="28"/>
          <w:szCs w:val="28"/>
          <w:rtl w:val="0"/>
        </w:rPr>
        <w:t xml:space="preserve"> una ponencia centrada en el </w:t>
      </w:r>
      <w:r w:rsidDel="00000000" w:rsidR="00000000" w:rsidRPr="00000000">
        <w:rPr>
          <w:rFonts w:ascii="Arial Narrow" w:cs="Arial Narrow" w:eastAsia="Arial Narrow" w:hAnsi="Arial Narrow"/>
          <w:b w:val="1"/>
          <w:bCs w:val="1"/>
          <w:sz w:val="28"/>
          <w:szCs w:val="28"/>
          <w:rtl w:val="0"/>
        </w:rPr>
        <w:t xml:space="preserve">Pantano del Ebro</w:t>
      </w:r>
      <w:r w:rsidDel="00000000" w:rsidR="00000000" w:rsidRPr="00000000">
        <w:rPr>
          <w:rFonts w:ascii="Arial Narrow" w:cs="Arial Narrow" w:eastAsia="Arial Narrow" w:hAnsi="Arial Narrow"/>
          <w:sz w:val="28"/>
          <w:szCs w:val="28"/>
          <w:rtl w:val="0"/>
        </w:rPr>
        <w:t xml:space="preserve">, bajo el título </w:t>
      </w:r>
      <w:r w:rsidDel="00000000" w:rsidR="00000000" w:rsidRPr="00000000">
        <w:rPr>
          <w:rFonts w:ascii="Arial Narrow" w:cs="Arial Narrow" w:eastAsia="Arial Narrow" w:hAnsi="Arial Narrow"/>
          <w:i w:val="1"/>
          <w:iCs w:val="1"/>
          <w:sz w:val="28"/>
          <w:szCs w:val="28"/>
          <w:rtl w:val="0"/>
        </w:rPr>
        <w:t xml:space="preserve">“Pantano del Ebro: su aspecto histórico, social y económico”</w:t>
      </w:r>
      <w:r w:rsidDel="00000000" w:rsidR="00000000" w:rsidRPr="00000000">
        <w:rPr>
          <w:rFonts w:ascii="Arial Narrow" w:cs="Arial Narrow" w:eastAsia="Arial Narrow" w:hAnsi="Arial Narrow"/>
          <w:sz w:val="28"/>
          <w:szCs w:val="28"/>
          <w:rtl w:val="0"/>
        </w:rPr>
        <w:t xml:space="preserve">. La charla correrá a cargo de </w:t>
      </w:r>
      <w:r w:rsidDel="00000000" w:rsidR="00000000" w:rsidRPr="00000000">
        <w:rPr>
          <w:rFonts w:ascii="Arial Narrow" w:cs="Arial Narrow" w:eastAsia="Arial Narrow" w:hAnsi="Arial Narrow"/>
          <w:b w:val="1"/>
          <w:bCs w:val="1"/>
          <w:sz w:val="28"/>
          <w:szCs w:val="28"/>
          <w:rtl w:val="0"/>
        </w:rPr>
        <w:t xml:space="preserve">Rafael de Andrés Seco</w:t>
      </w:r>
      <w:r w:rsidDel="00000000" w:rsidR="00000000" w:rsidRPr="00000000">
        <w:rPr>
          <w:rFonts w:ascii="Arial Narrow" w:cs="Arial Narrow" w:eastAsia="Arial Narrow" w:hAnsi="Arial Narrow"/>
          <w:sz w:val="28"/>
          <w:szCs w:val="28"/>
          <w:rtl w:val="0"/>
        </w:rPr>
        <w:t xml:space="preserve">, ingeniero técnico industrial, consultor ya jubilado e investigador especializado en la historia reciente de la comarca de Campoo y su relación con las grandes infraestructuras hidráulicas.</w:t>
      </w:r>
    </w:p>
    <w:p w:rsidR="00000000" w:rsidDel="00000000" w:rsidP="00000000" w:rsidRDefault="00000000" w:rsidRPr="00000000" w14:paraId="00000007">
      <w:pPr>
        <w:spacing w:after="240" w:before="240" w:line="240" w:lineRule="auto"/>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Durante la sesión se ofrecerá una visión global del embalse, abordando tanto sus características técnicas como las implicaciones territoriales, sociales y económicas que supuso su construcción. El pantano ocupa </w:t>
      </w:r>
      <w:r w:rsidDel="00000000" w:rsidR="00000000" w:rsidRPr="00000000">
        <w:rPr>
          <w:rFonts w:ascii="Arial Narrow" w:cs="Arial Narrow" w:eastAsia="Arial Narrow" w:hAnsi="Arial Narrow"/>
          <w:b w:val="1"/>
          <w:bCs w:val="1"/>
          <w:sz w:val="28"/>
          <w:szCs w:val="28"/>
          <w:rtl w:val="0"/>
        </w:rPr>
        <w:t xml:space="preserve">6.254 hectáreas</w:t>
      </w:r>
      <w:r w:rsidDel="00000000" w:rsidR="00000000" w:rsidRPr="00000000">
        <w:rPr>
          <w:rFonts w:ascii="Arial Narrow" w:cs="Arial Narrow" w:eastAsia="Arial Narrow" w:hAnsi="Arial Narrow"/>
          <w:sz w:val="28"/>
          <w:szCs w:val="28"/>
          <w:rtl w:val="0"/>
        </w:rPr>
        <w:t xml:space="preserve">, cuenta con una </w:t>
      </w:r>
      <w:r w:rsidDel="00000000" w:rsidR="00000000" w:rsidRPr="00000000">
        <w:rPr>
          <w:rFonts w:ascii="Arial Narrow" w:cs="Arial Narrow" w:eastAsia="Arial Narrow" w:hAnsi="Arial Narrow"/>
          <w:b w:val="1"/>
          <w:bCs w:val="1"/>
          <w:sz w:val="28"/>
          <w:szCs w:val="28"/>
          <w:rtl w:val="0"/>
        </w:rPr>
        <w:t xml:space="preserve">profundidad media cercana a los nueve metros</w:t>
      </w:r>
      <w:r w:rsidDel="00000000" w:rsidR="00000000" w:rsidRPr="00000000">
        <w:rPr>
          <w:rFonts w:ascii="Arial Narrow" w:cs="Arial Narrow" w:eastAsia="Arial Narrow" w:hAnsi="Arial Narrow"/>
          <w:sz w:val="28"/>
          <w:szCs w:val="28"/>
          <w:rtl w:val="0"/>
        </w:rPr>
        <w:t xml:space="preserve"> y puede almacenar hasta </w:t>
      </w:r>
      <w:r w:rsidDel="00000000" w:rsidR="00000000" w:rsidRPr="00000000">
        <w:rPr>
          <w:rFonts w:ascii="Arial Narrow" w:cs="Arial Narrow" w:eastAsia="Arial Narrow" w:hAnsi="Arial Narrow"/>
          <w:b w:val="1"/>
          <w:bCs w:val="1"/>
          <w:sz w:val="28"/>
          <w:szCs w:val="28"/>
          <w:rtl w:val="0"/>
        </w:rPr>
        <w:t xml:space="preserve">540,6 hectómetros cúbicos de agua</w:t>
      </w:r>
      <w:r w:rsidDel="00000000" w:rsidR="00000000" w:rsidRPr="00000000">
        <w:rPr>
          <w:rFonts w:ascii="Arial Narrow" w:cs="Arial Narrow" w:eastAsia="Arial Narrow" w:hAnsi="Arial Narrow"/>
          <w:sz w:val="28"/>
          <w:szCs w:val="28"/>
          <w:rtl w:val="0"/>
        </w:rPr>
        <w:t xml:space="preserve">, lo que implicó la inundación de una amplia superficie de terreno. Su línea de costa alcanza los </w:t>
      </w:r>
      <w:r w:rsidDel="00000000" w:rsidR="00000000" w:rsidRPr="00000000">
        <w:rPr>
          <w:rFonts w:ascii="Arial Narrow" w:cs="Arial Narrow" w:eastAsia="Arial Narrow" w:hAnsi="Arial Narrow"/>
          <w:b w:val="1"/>
          <w:bCs w:val="1"/>
          <w:sz w:val="28"/>
          <w:szCs w:val="28"/>
          <w:rtl w:val="0"/>
        </w:rPr>
        <w:t xml:space="preserve">120 kilómetros</w:t>
      </w:r>
      <w:r w:rsidDel="00000000" w:rsidR="00000000" w:rsidRPr="00000000">
        <w:rPr>
          <w:rFonts w:ascii="Arial Narrow" w:cs="Arial Narrow" w:eastAsia="Arial Narrow" w:hAnsi="Arial Narrow"/>
          <w:sz w:val="28"/>
          <w:szCs w:val="28"/>
          <w:rtl w:val="0"/>
        </w:rPr>
        <w:t xml:space="preserve"> y se extiende aproximadamente en un </w:t>
      </w:r>
      <w:r w:rsidDel="00000000" w:rsidR="00000000" w:rsidRPr="00000000">
        <w:rPr>
          <w:rFonts w:ascii="Arial Narrow" w:cs="Arial Narrow" w:eastAsia="Arial Narrow" w:hAnsi="Arial Narrow"/>
          <w:b w:val="1"/>
          <w:bCs w:val="1"/>
          <w:sz w:val="28"/>
          <w:szCs w:val="28"/>
          <w:rtl w:val="0"/>
        </w:rPr>
        <w:t xml:space="preserve">70% en Cantabria y un 30% en la provincia de Burgos</w:t>
      </w:r>
      <w:r w:rsidDel="00000000" w:rsidR="00000000" w:rsidRPr="00000000">
        <w:rPr>
          <w:rFonts w:ascii="Arial Narrow" w:cs="Arial Narrow" w:eastAsia="Arial Narrow" w:hAnsi="Arial Narrow"/>
          <w:sz w:val="28"/>
          <w:szCs w:val="28"/>
          <w:rtl w:val="0"/>
        </w:rPr>
        <w:t xml:space="preserve">. En el lado cántabro afecta a los municipios de </w:t>
      </w:r>
      <w:r w:rsidDel="00000000" w:rsidR="00000000" w:rsidRPr="00000000">
        <w:rPr>
          <w:rFonts w:ascii="Arial Narrow" w:cs="Arial Narrow" w:eastAsia="Arial Narrow" w:hAnsi="Arial Narrow"/>
          <w:b w:val="1"/>
          <w:bCs w:val="1"/>
          <w:sz w:val="28"/>
          <w:szCs w:val="28"/>
          <w:rtl w:val="0"/>
        </w:rPr>
        <w:t xml:space="preserve">Las Rozas de Valdearroyo, Campoo de Yuso y Campoo de Enmedio</w:t>
      </w:r>
      <w:r w:rsidDel="00000000" w:rsidR="00000000" w:rsidRPr="00000000">
        <w:rPr>
          <w:rFonts w:ascii="Arial Narrow" w:cs="Arial Narrow" w:eastAsia="Arial Narrow" w:hAnsi="Arial Narrow"/>
          <w:sz w:val="28"/>
          <w:szCs w:val="28"/>
          <w:rtl w:val="0"/>
        </w:rPr>
        <w:t xml:space="preserve">, mientras que en Burgos se reparte entre </w:t>
      </w:r>
      <w:r w:rsidDel="00000000" w:rsidR="00000000" w:rsidRPr="00000000">
        <w:rPr>
          <w:rFonts w:ascii="Arial Narrow" w:cs="Arial Narrow" w:eastAsia="Arial Narrow" w:hAnsi="Arial Narrow"/>
          <w:b w:val="1"/>
          <w:bCs w:val="1"/>
          <w:sz w:val="28"/>
          <w:szCs w:val="28"/>
          <w:rtl w:val="0"/>
        </w:rPr>
        <w:t xml:space="preserve">Arija, Valdebezana y Alfoz de Santa Gadea</w:t>
      </w:r>
      <w:r w:rsidDel="00000000" w:rsidR="00000000" w:rsidRPr="00000000">
        <w:rPr>
          <w:rFonts w:ascii="Arial Narrow" w:cs="Arial Narrow" w:eastAsia="Arial Narrow" w:hAnsi="Arial Narrow"/>
          <w:sz w:val="28"/>
          <w:szCs w:val="28"/>
          <w:rtl w:val="0"/>
        </w:rPr>
        <w:t xml:space="preserve">.</w:t>
      </w:r>
    </w:p>
    <w:p w:rsidR="00000000" w:rsidDel="00000000" w:rsidP="00000000" w:rsidRDefault="00000000" w:rsidRPr="00000000" w14:paraId="00000008">
      <w:pPr>
        <w:spacing w:after="240" w:before="240" w:line="240" w:lineRule="auto"/>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La intervención también repasará los principales hitos históricos ligados a la creación del embalse. Entre ellos, el proyecto planteado en </w:t>
      </w:r>
      <w:r w:rsidDel="00000000" w:rsidR="00000000" w:rsidRPr="00000000">
        <w:rPr>
          <w:rFonts w:ascii="Arial Narrow" w:cs="Arial Narrow" w:eastAsia="Arial Narrow" w:hAnsi="Arial Narrow"/>
          <w:b w:val="1"/>
          <w:bCs w:val="1"/>
          <w:sz w:val="28"/>
          <w:szCs w:val="28"/>
          <w:rtl w:val="0"/>
        </w:rPr>
        <w:t xml:space="preserve">1916 por el ingeniero Manuel Lorenzo Pardo</w:t>
      </w:r>
      <w:r w:rsidDel="00000000" w:rsidR="00000000" w:rsidRPr="00000000">
        <w:rPr>
          <w:rFonts w:ascii="Arial Narrow" w:cs="Arial Narrow" w:eastAsia="Arial Narrow" w:hAnsi="Arial Narrow"/>
          <w:sz w:val="28"/>
          <w:szCs w:val="28"/>
          <w:rtl w:val="0"/>
        </w:rPr>
        <w:t xml:space="preserve">, el debate público que generó en la comarca, la creación en </w:t>
      </w:r>
      <w:r w:rsidDel="00000000" w:rsidR="00000000" w:rsidRPr="00000000">
        <w:rPr>
          <w:rFonts w:ascii="Arial Narrow" w:cs="Arial Narrow" w:eastAsia="Arial Narrow" w:hAnsi="Arial Narrow"/>
          <w:b w:val="1"/>
          <w:bCs w:val="1"/>
          <w:sz w:val="28"/>
          <w:szCs w:val="28"/>
          <w:rtl w:val="0"/>
        </w:rPr>
        <w:t xml:space="preserve">1926 de la Confederación Hidrográfica del Ebro</w:t>
      </w:r>
      <w:r w:rsidDel="00000000" w:rsidR="00000000" w:rsidRPr="00000000">
        <w:rPr>
          <w:rFonts w:ascii="Arial Narrow" w:cs="Arial Narrow" w:eastAsia="Arial Narrow" w:hAnsi="Arial Narrow"/>
          <w:sz w:val="28"/>
          <w:szCs w:val="28"/>
          <w:rtl w:val="0"/>
        </w:rPr>
        <w:t xml:space="preserve"> o las movilizaciones impulsadas por la </w:t>
      </w:r>
      <w:r w:rsidDel="00000000" w:rsidR="00000000" w:rsidRPr="00000000">
        <w:rPr>
          <w:rFonts w:ascii="Arial Narrow" w:cs="Arial Narrow" w:eastAsia="Arial Narrow" w:hAnsi="Arial Narrow"/>
          <w:b w:val="1"/>
          <w:bCs w:val="1"/>
          <w:sz w:val="28"/>
          <w:szCs w:val="28"/>
          <w:rtl w:val="0"/>
        </w:rPr>
        <w:t xml:space="preserve">Unión Campurriana</w:t>
      </w:r>
      <w:r w:rsidDel="00000000" w:rsidR="00000000" w:rsidRPr="00000000">
        <w:rPr>
          <w:rFonts w:ascii="Arial Narrow" w:cs="Arial Narrow" w:eastAsia="Arial Narrow" w:hAnsi="Arial Narrow"/>
          <w:sz w:val="28"/>
          <w:szCs w:val="28"/>
          <w:rtl w:val="0"/>
        </w:rPr>
        <w:t xml:space="preserve"> para defender los intereses del territorio. Las obras se vieron interrumpidas con el estallido de la Guerra Civil y no se retomaron hasta la posguerra.</w:t>
      </w:r>
    </w:p>
    <w:p w:rsidR="00000000" w:rsidDel="00000000" w:rsidP="00000000" w:rsidRDefault="00000000" w:rsidRPr="00000000" w14:paraId="00000009">
      <w:pPr>
        <w:spacing w:after="240" w:before="240" w:line="240" w:lineRule="auto"/>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Uno de los bloques centrales de la ponencia se centrará en el impacto social que provocó la construcción del pantano. Las expropiaciones de terrenos, el traslado de población o el discurso oficial sobre el progreso convivieron con episodios menos conocidos. Entre ellos figura el uso de </w:t>
      </w:r>
      <w:r w:rsidDel="00000000" w:rsidR="00000000" w:rsidRPr="00000000">
        <w:rPr>
          <w:rFonts w:ascii="Arial Narrow" w:cs="Arial Narrow" w:eastAsia="Arial Narrow" w:hAnsi="Arial Narrow"/>
          <w:b w:val="1"/>
          <w:bCs w:val="1"/>
          <w:sz w:val="28"/>
          <w:szCs w:val="28"/>
          <w:rtl w:val="0"/>
        </w:rPr>
        <w:t xml:space="preserve">presos republicanos como mano de obra forzada</w:t>
      </w:r>
      <w:r w:rsidDel="00000000" w:rsidR="00000000" w:rsidRPr="00000000">
        <w:rPr>
          <w:rFonts w:ascii="Arial Narrow" w:cs="Arial Narrow" w:eastAsia="Arial Narrow" w:hAnsi="Arial Narrow"/>
          <w:sz w:val="28"/>
          <w:szCs w:val="28"/>
          <w:rtl w:val="0"/>
        </w:rPr>
        <w:t xml:space="preserve">, con el traslado documentado en 1942 de </w:t>
      </w:r>
      <w:r w:rsidDel="00000000" w:rsidR="00000000" w:rsidRPr="00000000">
        <w:rPr>
          <w:rFonts w:ascii="Arial Narrow" w:cs="Arial Narrow" w:eastAsia="Arial Narrow" w:hAnsi="Arial Narrow"/>
          <w:b w:val="1"/>
          <w:bCs w:val="1"/>
          <w:sz w:val="28"/>
          <w:szCs w:val="28"/>
          <w:rtl w:val="0"/>
        </w:rPr>
        <w:t xml:space="preserve">258 reclusos al pueblo de Arroyo</w:t>
      </w:r>
      <w:r w:rsidDel="00000000" w:rsidR="00000000" w:rsidRPr="00000000">
        <w:rPr>
          <w:rFonts w:ascii="Arial Narrow" w:cs="Arial Narrow" w:eastAsia="Arial Narrow" w:hAnsi="Arial Narrow"/>
          <w:sz w:val="28"/>
          <w:szCs w:val="28"/>
          <w:rtl w:val="0"/>
        </w:rPr>
        <w:t xml:space="preserve"> para participar en los trabajos de construcción dentro del sistema represivo del franquismo.</w:t>
      </w:r>
    </w:p>
    <w:p w:rsidR="00000000" w:rsidDel="00000000" w:rsidP="00000000" w:rsidRDefault="00000000" w:rsidRPr="00000000" w14:paraId="0000000A">
      <w:pPr>
        <w:spacing w:after="240" w:before="240" w:line="240" w:lineRule="auto"/>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La charla abordará además los beneficios que la infraestructura generó en los territorios situados aguas abajo, como la regulación del caudal del río Ebro, el desarrollo de regadíos, el abastecimiento de agua, el control de crecidas o el impulso de actividades hidroeléctricas e industriales. Todo ello, según se analizará, con un coste condicionado por la reducción de gastos en expropiaciones y otras infraestructuras, así como por el recurso al trabajo forzado.</w:t>
      </w:r>
    </w:p>
    <w:p w:rsidR="00000000" w:rsidDel="00000000" w:rsidP="00000000" w:rsidRDefault="00000000" w:rsidRPr="00000000" w14:paraId="0000000B">
      <w:pPr>
        <w:spacing w:after="240" w:before="240" w:line="240" w:lineRule="auto"/>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Rafael de Andrés Seco ha desarrollado su trayectoria profesional como ingeniero técnico industrial y consultor. Entre </w:t>
      </w:r>
      <w:r w:rsidDel="00000000" w:rsidR="00000000" w:rsidRPr="00000000">
        <w:rPr>
          <w:rFonts w:ascii="Arial Narrow" w:cs="Arial Narrow" w:eastAsia="Arial Narrow" w:hAnsi="Arial Narrow"/>
          <w:b w:val="1"/>
          <w:bCs w:val="1"/>
          <w:sz w:val="28"/>
          <w:szCs w:val="28"/>
          <w:rtl w:val="0"/>
        </w:rPr>
        <w:t xml:space="preserve">1983 y 1987</w:t>
      </w:r>
      <w:r w:rsidDel="00000000" w:rsidR="00000000" w:rsidRPr="00000000">
        <w:rPr>
          <w:rFonts w:ascii="Arial Narrow" w:cs="Arial Narrow" w:eastAsia="Arial Narrow" w:hAnsi="Arial Narrow"/>
          <w:sz w:val="28"/>
          <w:szCs w:val="28"/>
          <w:rtl w:val="0"/>
        </w:rPr>
        <w:t xml:space="preserve"> formó parte del Secretariado Comarcal de </w:t>
      </w:r>
      <w:r w:rsidDel="00000000" w:rsidR="00000000" w:rsidRPr="00000000">
        <w:rPr>
          <w:rFonts w:ascii="Arial Narrow" w:cs="Arial Narrow" w:eastAsia="Arial Narrow" w:hAnsi="Arial Narrow"/>
          <w:b w:val="1"/>
          <w:bCs w:val="1"/>
          <w:sz w:val="28"/>
          <w:szCs w:val="28"/>
          <w:rtl w:val="0"/>
        </w:rPr>
        <w:t xml:space="preserve">CC.OO. de Reinosa</w:t>
      </w:r>
      <w:r w:rsidDel="00000000" w:rsidR="00000000" w:rsidRPr="00000000">
        <w:rPr>
          <w:rFonts w:ascii="Arial Narrow" w:cs="Arial Narrow" w:eastAsia="Arial Narrow" w:hAnsi="Arial Narrow"/>
          <w:sz w:val="28"/>
          <w:szCs w:val="28"/>
          <w:rtl w:val="0"/>
        </w:rPr>
        <w:t xml:space="preserve">. Es autor del libro </w:t>
      </w:r>
      <w:r w:rsidDel="00000000" w:rsidR="00000000" w:rsidRPr="00000000">
        <w:rPr>
          <w:rFonts w:ascii="Arial Narrow" w:cs="Arial Narrow" w:eastAsia="Arial Narrow" w:hAnsi="Arial Narrow"/>
          <w:i w:val="1"/>
          <w:iCs w:val="1"/>
          <w:sz w:val="28"/>
          <w:szCs w:val="28"/>
          <w:rtl w:val="0"/>
        </w:rPr>
        <w:t xml:space="preserve">“Los conflictos de 1987 en Reinosa. Análisis de la actuación sindical”</w:t>
      </w:r>
      <w:r w:rsidDel="00000000" w:rsidR="00000000" w:rsidRPr="00000000">
        <w:rPr>
          <w:rFonts w:ascii="Arial Narrow" w:cs="Arial Narrow" w:eastAsia="Arial Narrow" w:hAnsi="Arial Narrow"/>
          <w:sz w:val="28"/>
          <w:szCs w:val="28"/>
          <w:rtl w:val="0"/>
        </w:rPr>
        <w:t xml:space="preserve"> (2021) y participó en el documental </w:t>
      </w:r>
      <w:r w:rsidDel="00000000" w:rsidR="00000000" w:rsidRPr="00000000">
        <w:rPr>
          <w:rFonts w:ascii="Arial Narrow" w:cs="Arial Narrow" w:eastAsia="Arial Narrow" w:hAnsi="Arial Narrow"/>
          <w:i w:val="1"/>
          <w:iCs w:val="1"/>
          <w:sz w:val="28"/>
          <w:szCs w:val="28"/>
          <w:rtl w:val="0"/>
        </w:rPr>
        <w:t xml:space="preserve">“Reinosa 1987: El precio de la reconversión industrial”</w:t>
      </w:r>
      <w:r w:rsidDel="00000000" w:rsidR="00000000" w:rsidRPr="00000000">
        <w:rPr>
          <w:rFonts w:ascii="Arial Narrow" w:cs="Arial Narrow" w:eastAsia="Arial Narrow" w:hAnsi="Arial Narrow"/>
          <w:sz w:val="28"/>
          <w:szCs w:val="28"/>
          <w:rtl w:val="0"/>
        </w:rPr>
        <w:t xml:space="preserve">, dirigido por Richard Zubelzu.</w:t>
      </w:r>
    </w:p>
    <w:p w:rsidR="00000000" w:rsidDel="00000000" w:rsidP="00000000" w:rsidRDefault="00000000" w:rsidRPr="00000000" w14:paraId="0000000C">
      <w:pPr>
        <w:spacing w:after="240" w:before="240" w:line="240" w:lineRule="auto"/>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Asimismo, fue secretario de la </w:t>
      </w:r>
      <w:r w:rsidDel="00000000" w:rsidR="00000000" w:rsidRPr="00000000">
        <w:rPr>
          <w:rFonts w:ascii="Arial Narrow" w:cs="Arial Narrow" w:eastAsia="Arial Narrow" w:hAnsi="Arial Narrow"/>
          <w:b w:val="1"/>
          <w:bCs w:val="1"/>
          <w:sz w:val="28"/>
          <w:szCs w:val="28"/>
          <w:rtl w:val="0"/>
        </w:rPr>
        <w:t xml:space="preserve">Comisión Campurriana para la Historia del Pantano del Ebro</w:t>
      </w:r>
      <w:r w:rsidDel="00000000" w:rsidR="00000000" w:rsidRPr="00000000">
        <w:rPr>
          <w:rFonts w:ascii="Arial Narrow" w:cs="Arial Narrow" w:eastAsia="Arial Narrow" w:hAnsi="Arial Narrow"/>
          <w:sz w:val="28"/>
          <w:szCs w:val="28"/>
          <w:rtl w:val="0"/>
        </w:rPr>
        <w:t xml:space="preserve"> desde su creación en 2017 hasta su disolución en 2025 y coordinó, además de participar como coautor, en el libro </w:t>
      </w:r>
      <w:r w:rsidDel="00000000" w:rsidR="00000000" w:rsidRPr="00000000">
        <w:rPr>
          <w:rFonts w:ascii="Arial Narrow" w:cs="Arial Narrow" w:eastAsia="Arial Narrow" w:hAnsi="Arial Narrow"/>
          <w:i w:val="1"/>
          <w:iCs w:val="1"/>
          <w:sz w:val="28"/>
          <w:szCs w:val="28"/>
          <w:rtl w:val="0"/>
        </w:rPr>
        <w:t xml:space="preserve">“El Pantano del Ebro y el Puente Noguerol. Mirando al futuro sin olvidar el pasado”</w:t>
      </w:r>
      <w:r w:rsidDel="00000000" w:rsidR="00000000" w:rsidRPr="00000000">
        <w:rPr>
          <w:rFonts w:ascii="Arial Narrow" w:cs="Arial Narrow" w:eastAsia="Arial Narrow" w:hAnsi="Arial Narrow"/>
          <w:sz w:val="28"/>
          <w:szCs w:val="28"/>
          <w:rtl w:val="0"/>
        </w:rPr>
        <w:t xml:space="preserve"> (2018).</w:t>
      </w:r>
    </w:p>
    <w:p w:rsidR="00000000" w:rsidDel="00000000" w:rsidP="00000000" w:rsidRDefault="00000000" w:rsidRPr="00000000" w14:paraId="0000000D">
      <w:pPr>
        <w:spacing w:after="240" w:before="240" w:line="240" w:lineRule="auto"/>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El ponente es socio de la </w:t>
      </w:r>
      <w:r w:rsidDel="00000000" w:rsidR="00000000" w:rsidRPr="00000000">
        <w:rPr>
          <w:rFonts w:ascii="Arial Narrow" w:cs="Arial Narrow" w:eastAsia="Arial Narrow" w:hAnsi="Arial Narrow"/>
          <w:b w:val="1"/>
          <w:bCs w:val="1"/>
          <w:sz w:val="28"/>
          <w:szCs w:val="28"/>
          <w:rtl w:val="0"/>
        </w:rPr>
        <w:t xml:space="preserve">Asociación Cultural Fresno del Río</w:t>
      </w:r>
      <w:r w:rsidDel="00000000" w:rsidR="00000000" w:rsidRPr="00000000">
        <w:rPr>
          <w:rFonts w:ascii="Arial Narrow" w:cs="Arial Narrow" w:eastAsia="Arial Narrow" w:hAnsi="Arial Narrow"/>
          <w:sz w:val="28"/>
          <w:szCs w:val="28"/>
          <w:rtl w:val="0"/>
        </w:rPr>
        <w:t xml:space="preserve"> y de </w:t>
      </w:r>
      <w:r w:rsidDel="00000000" w:rsidR="00000000" w:rsidRPr="00000000">
        <w:rPr>
          <w:rFonts w:ascii="Arial Narrow" w:cs="Arial Narrow" w:eastAsia="Arial Narrow" w:hAnsi="Arial Narrow"/>
          <w:b w:val="1"/>
          <w:bCs w:val="1"/>
          <w:sz w:val="28"/>
          <w:szCs w:val="28"/>
          <w:rtl w:val="0"/>
        </w:rPr>
        <w:t xml:space="preserve">ASCAGEN (Asociación Cántabra de Genealogía)</w:t>
      </w:r>
      <w:r w:rsidDel="00000000" w:rsidR="00000000" w:rsidRPr="00000000">
        <w:rPr>
          <w:rFonts w:ascii="Arial Narrow" w:cs="Arial Narrow" w:eastAsia="Arial Narrow" w:hAnsi="Arial Narrow"/>
          <w:sz w:val="28"/>
          <w:szCs w:val="28"/>
          <w:rtl w:val="0"/>
        </w:rPr>
        <w:t xml:space="preserve">, además de colaborar de forma habitual en publicaciones y medios de ámbito comarcal y participar en iniciativas divulgativas como la web </w:t>
      </w:r>
      <w:r w:rsidDel="00000000" w:rsidR="00000000" w:rsidRPr="00000000">
        <w:rPr>
          <w:rFonts w:ascii="Arial Narrow" w:cs="Arial Narrow" w:eastAsia="Arial Narrow" w:hAnsi="Arial Narrow"/>
          <w:b w:val="1"/>
          <w:bCs w:val="1"/>
          <w:sz w:val="28"/>
          <w:szCs w:val="28"/>
          <w:rtl w:val="0"/>
        </w:rPr>
        <w:t xml:space="preserve">Vive Campoo</w:t>
      </w:r>
      <w:r w:rsidDel="00000000" w:rsidR="00000000" w:rsidRPr="00000000">
        <w:rPr>
          <w:rFonts w:ascii="Arial Narrow" w:cs="Arial Narrow" w:eastAsia="Arial Narrow" w:hAnsi="Arial Narrow"/>
          <w:sz w:val="28"/>
          <w:szCs w:val="28"/>
          <w:rtl w:val="0"/>
        </w:rPr>
        <w:t xml:space="preserve">.</w:t>
      </w:r>
    </w:p>
    <w:p w:rsidR="00000000" w:rsidDel="00000000" w:rsidP="00000000" w:rsidRDefault="00000000" w:rsidRPr="00000000" w14:paraId="0000000E">
      <w:pPr>
        <w:spacing w:after="240" w:before="240" w:line="240" w:lineRule="auto"/>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La entrada a la actividad será </w:t>
      </w:r>
      <w:r w:rsidDel="00000000" w:rsidR="00000000" w:rsidRPr="00000000">
        <w:rPr>
          <w:rFonts w:ascii="Arial Narrow" w:cs="Arial Narrow" w:eastAsia="Arial Narrow" w:hAnsi="Arial Narrow"/>
          <w:b w:val="1"/>
          <w:bCs w:val="1"/>
          <w:sz w:val="28"/>
          <w:szCs w:val="28"/>
          <w:rtl w:val="0"/>
        </w:rPr>
        <w:t xml:space="preserve">gratuita hasta completar aforo</w:t>
      </w:r>
      <w:r w:rsidDel="00000000" w:rsidR="00000000" w:rsidRPr="00000000">
        <w:rPr>
          <w:rFonts w:ascii="Arial Narrow" w:cs="Arial Narrow" w:eastAsia="Arial Narrow" w:hAnsi="Arial Narrow"/>
          <w:sz w:val="28"/>
          <w:szCs w:val="28"/>
          <w:rtl w:val="0"/>
        </w:rPr>
        <w:t xml:space="preserve"> y también podrá seguirse en directo a través del </w:t>
      </w:r>
      <w:r w:rsidDel="00000000" w:rsidR="00000000" w:rsidRPr="00000000">
        <w:rPr>
          <w:rFonts w:ascii="Arial Narrow" w:cs="Arial Narrow" w:eastAsia="Arial Narrow" w:hAnsi="Arial Narrow"/>
          <w:b w:val="1"/>
          <w:bCs w:val="1"/>
          <w:sz w:val="28"/>
          <w:szCs w:val="28"/>
          <w:rtl w:val="0"/>
        </w:rPr>
        <w:t xml:space="preserve">canal de YouTube del Ágora Solidaria Cultura y Memoria Luis Toca</w:t>
      </w:r>
      <w:r w:rsidDel="00000000" w:rsidR="00000000" w:rsidRPr="00000000">
        <w:rPr>
          <w:rFonts w:ascii="Arial Narrow" w:cs="Arial Narrow" w:eastAsia="Arial Narrow" w:hAnsi="Arial Narrow"/>
          <w:sz w:val="28"/>
          <w:szCs w:val="28"/>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1" w:firstLine="0"/>
        <w:jc w:val="both"/>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1" w:firstLine="0"/>
        <w:jc w:val="both"/>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1" w:firstLine="0"/>
        <w:jc w:val="both"/>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181" w:firstLine="0"/>
        <w:jc w:val="both"/>
        <w:rPr>
          <w:rFonts w:ascii="Arial Narrow" w:cs="Arial Narrow" w:eastAsia="Arial Narrow" w:hAnsi="Arial Narrow"/>
          <w:i w:val="1"/>
          <w:iCs w:val="1"/>
          <w:sz w:val="28"/>
          <w:szCs w:val="28"/>
        </w:rPr>
      </w:pPr>
      <w:r w:rsidDel="00000000" w:rsidR="00000000" w:rsidRPr="00000000">
        <w:rPr>
          <w:rFonts w:ascii="Arial Narrow" w:cs="Arial Narrow" w:eastAsia="Arial Narrow" w:hAnsi="Arial Narrow"/>
          <w:i w:val="1"/>
          <w:iCs w:val="1"/>
          <w:sz w:val="28"/>
          <w:szCs w:val="28"/>
          <w:rtl w:val="0"/>
        </w:rPr>
        <w:t xml:space="preserve">Se adjunta fotografía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181" w:firstLine="0"/>
        <w:jc w:val="both"/>
        <w:rPr>
          <w:rFonts w:ascii="Arial Narrow" w:cs="Arial Narrow" w:eastAsia="Arial Narrow" w:hAnsi="Arial Narrow"/>
          <w:i w:val="1"/>
          <w:iCs w:val="1"/>
          <w:sz w:val="28"/>
          <w:szCs w:val="28"/>
        </w:rPr>
      </w:pPr>
      <w:r w:rsidDel="00000000" w:rsidR="00000000" w:rsidRPr="00000000">
        <w:rPr>
          <w:rtl w:val="0"/>
        </w:rPr>
      </w:r>
    </w:p>
    <w:sectPr>
      <w:type w:val="continuous"/>
      <w:pgSz w:h="16838" w:w="11906" w:orient="portrait"/>
      <w:pgMar w:bottom="1417" w:top="1810" w:left="1701" w:right="1701" w:header="284"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widowControl w:val="0"/>
      <w:spacing w:after="0" w:lineRule="auto"/>
      <w:rPr/>
    </w:pPr>
    <w:r w:rsidDel="00000000" w:rsidR="00000000" w:rsidRPr="00000000">
      <w:rPr>
        <w:rtl w:val="0"/>
      </w:rPr>
    </w:r>
  </w:p>
  <w:tbl>
    <w:tblPr>
      <w:tblStyle w:val="Table1"/>
      <w:tblW w:w="11100.0" w:type="dxa"/>
      <w:jc w:val="left"/>
      <w:tblInd w:w="-11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0"/>
      <w:gridCol w:w="380"/>
      <w:gridCol w:w="6400"/>
      <w:gridCol w:w="2320"/>
      <w:tblGridChange w:id="0">
        <w:tblGrid>
          <w:gridCol w:w="2000"/>
          <w:gridCol w:w="380"/>
          <w:gridCol w:w="6400"/>
          <w:gridCol w:w="2320"/>
        </w:tblGrid>
      </w:tblGridChange>
    </w:tblGrid>
    <w:tr>
      <w:trPr>
        <w:cantSplit w:val="0"/>
        <w:trHeight w:val="12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tabs>
              <w:tab w:val="center" w:leader="none" w:pos="4252"/>
              <w:tab w:val="right" w:leader="none" w:pos="8504"/>
            </w:tabs>
            <w:rPr>
              <w:rFonts w:ascii="Gill Sans" w:cs="Gill Sans" w:eastAsia="Gill Sans" w:hAnsi="Gill Sans"/>
              <w:sz w:val="10"/>
              <w:szCs w:val="10"/>
            </w:rPr>
          </w:pPr>
          <w:r w:rsidDel="00000000" w:rsidR="00000000" w:rsidRPr="00000000">
            <w:rPr>
              <w:rFonts w:ascii="Gill Sans" w:cs="Gill Sans" w:eastAsia="Gill Sans" w:hAnsi="Gill Sans"/>
              <w:sz w:val="10"/>
              <w:szCs w:val="10"/>
              <w:rtl w:val="0"/>
            </w:rPr>
            <w:t xml:space="preserve">CORREO ELECTRÓNICO</w:t>
          </w:r>
        </w:p>
        <w:p w:rsidR="00000000" w:rsidDel="00000000" w:rsidP="00000000" w:rsidRDefault="00000000" w:rsidRPr="00000000" w14:paraId="0000001D">
          <w:pPr>
            <w:tabs>
              <w:tab w:val="center" w:leader="none" w:pos="4252"/>
              <w:tab w:val="right" w:leader="none" w:pos="8504"/>
            </w:tabs>
            <w:rPr/>
          </w:pPr>
          <w:r w:rsidDel="00000000" w:rsidR="00000000" w:rsidRPr="00000000">
            <w:rPr>
              <w:rFonts w:ascii="Arial Narrow" w:cs="Arial Narrow" w:eastAsia="Arial Narrow" w:hAnsi="Arial Narrow"/>
              <w:sz w:val="16"/>
              <w:szCs w:val="16"/>
              <w:rtl w:val="0"/>
            </w:rPr>
            <w:t xml:space="preserve">prensa@ascm.es</w:t>
          </w: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1E">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SECRETARÍA DE COMUNICACIÓN</w:t>
          </w:r>
        </w:p>
        <w:p w:rsidR="00000000" w:rsidDel="00000000" w:rsidP="00000000" w:rsidRDefault="00000000" w:rsidRPr="00000000" w14:paraId="0000001F">
          <w:pPr>
            <w:tabs>
              <w:tab w:val="center" w:leader="none" w:pos="4252"/>
              <w:tab w:val="right" w:leader="none" w:pos="8504"/>
            </w:tabs>
            <w:jc w:val="center"/>
            <w:rPr>
              <w:rFonts w:ascii="Arial Narrow" w:cs="Arial Narrow" w:eastAsia="Arial Narrow" w:hAnsi="Arial Narrow"/>
              <w:b w:val="1"/>
              <w:bCs w:val="1"/>
              <w:color w:val="0000ff"/>
              <w:u w:val="single"/>
            </w:rPr>
          </w:pPr>
          <w:hyperlink r:id="rId1">
            <w:r w:rsidDel="00000000" w:rsidR="00000000" w:rsidRPr="00000000">
              <w:rPr>
                <w:rFonts w:ascii="Arial Narrow" w:cs="Arial Narrow" w:eastAsia="Arial Narrow" w:hAnsi="Arial Narrow"/>
                <w:b w:val="1"/>
                <w:bCs w:val="1"/>
                <w:color w:val="1155cc"/>
                <w:u w:val="single"/>
                <w:rtl w:val="0"/>
              </w:rPr>
              <w:t xml:space="preserve">WWW.ASCM.ES</w:t>
            </w:r>
          </w:hyperlink>
          <w:r w:rsidDel="00000000" w:rsidR="00000000" w:rsidRPr="00000000">
            <w:rPr>
              <w:rtl w:val="0"/>
            </w:rPr>
          </w:r>
        </w:p>
        <w:p w:rsidR="00000000" w:rsidDel="00000000" w:rsidP="00000000" w:rsidRDefault="00000000" w:rsidRPr="00000000" w14:paraId="00000020">
          <w:pPr>
            <w:tabs>
              <w:tab w:val="center" w:leader="none" w:pos="4252"/>
              <w:tab w:val="right" w:leader="none" w:pos="8504"/>
            </w:tabs>
            <w:jc w:val="center"/>
            <w:rPr/>
          </w:pPr>
          <w:r w:rsidDel="00000000" w:rsidR="00000000" w:rsidRPr="00000000">
            <w:rPr>
              <w:rtl w:val="0"/>
            </w:rPr>
          </w:r>
        </w:p>
      </w:tc>
      <w:tc>
        <w:tcPr>
          <w:vMerge w:val="restart"/>
          <w:tcBorders>
            <w:top w:color="000000" w:space="0" w:sz="0" w:val="nil"/>
            <w:left w:color="000000" w:space="0" w:sz="4" w:val="single"/>
            <w:right w:color="000000" w:space="0" w:sz="0" w:val="nil"/>
          </w:tcBorders>
        </w:tcPr>
        <w:p w:rsidR="00000000" w:rsidDel="00000000" w:rsidP="00000000" w:rsidRDefault="00000000" w:rsidRPr="00000000" w14:paraId="00000022">
          <w:pPr>
            <w:tabs>
              <w:tab w:val="center" w:leader="none" w:pos="4252"/>
              <w:tab w:val="right" w:leader="none" w:pos="8504"/>
            </w:tabs>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Dirección postal</w:t>
          </w:r>
        </w:p>
        <w:p w:rsidR="00000000" w:rsidDel="00000000" w:rsidP="00000000" w:rsidRDefault="00000000" w:rsidRPr="00000000" w14:paraId="00000023">
          <w:pPr>
            <w:tabs>
              <w:tab w:val="center" w:leader="none" w:pos="4252"/>
              <w:tab w:val="right" w:leader="none" w:pos="8504"/>
            </w:tabs>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juan XXIII, 22, Santander, Cantabria</w:t>
          </w:r>
        </w:p>
        <w:p w:rsidR="00000000" w:rsidDel="00000000" w:rsidP="00000000" w:rsidRDefault="00000000" w:rsidRPr="00000000" w14:paraId="00000024">
          <w:pPr>
            <w:tabs>
              <w:tab w:val="center" w:leader="none" w:pos="4252"/>
              <w:tab w:val="right" w:leader="none" w:pos="8504"/>
            </w:tabs>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5">
          <w:pPr>
            <w:tabs>
              <w:tab w:val="center" w:leader="none" w:pos="4252"/>
              <w:tab w:val="right" w:leader="none" w:pos="8504"/>
            </w:tabs>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6">
          <w:pPr>
            <w:tabs>
              <w:tab w:val="center" w:leader="none" w:pos="4252"/>
              <w:tab w:val="right" w:leader="none" w:pos="8504"/>
            </w:tabs>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Teléfono de prensa</w:t>
          </w:r>
        </w:p>
        <w:p w:rsidR="00000000" w:rsidDel="00000000" w:rsidP="00000000" w:rsidRDefault="00000000" w:rsidRPr="00000000" w14:paraId="00000027">
          <w:pPr>
            <w:tabs>
              <w:tab w:val="center" w:leader="none" w:pos="4252"/>
              <w:tab w:val="right" w:leader="none" w:pos="8504"/>
            </w:tabs>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609841742</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8">
          <w:pPr>
            <w:tabs>
              <w:tab w:val="center" w:leader="none" w:pos="4252"/>
              <w:tab w:val="right" w:leader="none" w:pos="8504"/>
            </w:tabs>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2A">
          <w:pPr>
            <w:tabs>
              <w:tab w:val="center" w:leader="none" w:pos="4252"/>
              <w:tab w:val="right" w:leader="none" w:pos="8504"/>
            </w:tabs>
            <w:rPr/>
          </w:pPr>
          <w:r w:rsidDel="00000000" w:rsidR="00000000" w:rsidRPr="00000000">
            <w:rPr>
              <w:rtl w:val="0"/>
            </w:rPr>
          </w:r>
        </w:p>
      </w:tc>
      <w:tc>
        <w:tcPr>
          <w:vMerge w:val="continue"/>
          <w:tcBorders>
            <w:top w:color="000000" w:space="0" w:sz="0" w:val="nil"/>
            <w:left w:color="000000" w:space="0" w:sz="4" w:val="single"/>
            <w:right w:color="000000" w:space="0" w:sz="0" w:val="nil"/>
          </w:tcBorders>
        </w:tcPr>
        <w:p w:rsidR="00000000" w:rsidDel="00000000" w:rsidP="00000000" w:rsidRDefault="00000000" w:rsidRPr="00000000" w14:paraId="0000002B">
          <w:pPr>
            <w:widowControl w:val="0"/>
            <w:spacing w:line="276" w:lineRule="auto"/>
            <w:rPr/>
          </w:pPr>
          <w:r w:rsidDel="00000000" w:rsidR="00000000" w:rsidRPr="00000000">
            <w:rPr>
              <w:rtl w:val="0"/>
            </w:rPr>
          </w:r>
        </w:p>
      </w:tc>
    </w:tr>
  </w:tbl>
  <w:p w:rsidR="00000000" w:rsidDel="00000000" w:rsidP="00000000" w:rsidRDefault="00000000" w:rsidRPr="00000000" w14:paraId="0000002C">
    <w:pPr>
      <w:tabs>
        <w:tab w:val="center" w:leader="none" w:pos="4252"/>
        <w:tab w:val="right" w:leader="none" w:pos="8504"/>
      </w:tabs>
      <w:spacing w:after="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tabs>
        <w:tab w:val="center" w:leader="none" w:pos="4252"/>
        <w:tab w:val="right" w:leader="none" w:pos="8504"/>
      </w:tabs>
      <w:spacing w:after="0" w:line="240" w:lineRule="auto"/>
      <w:jc w:val="left"/>
      <w:rPr>
        <w:b w:val="1"/>
        <w:bCs w:val="1"/>
        <w:sz w:val="6"/>
        <w:szCs w:val="6"/>
        <w:u w:val="single"/>
      </w:rPr>
    </w:pPr>
    <w:r w:rsidDel="00000000" w:rsidR="00000000" w:rsidRPr="00000000">
      <w:rPr>
        <w:rtl w:val="0"/>
      </w:rPr>
    </w:r>
  </w:p>
  <w:p w:rsidR="00000000" w:rsidDel="00000000" w:rsidP="00000000" w:rsidRDefault="00000000" w:rsidRPr="00000000" w14:paraId="00000015">
    <w:pPr>
      <w:tabs>
        <w:tab w:val="center" w:leader="none" w:pos="4252"/>
        <w:tab w:val="right" w:leader="none" w:pos="8504"/>
      </w:tabs>
      <w:spacing w:after="0" w:line="240" w:lineRule="auto"/>
      <w:jc w:val="left"/>
      <w:rPr>
        <w:b w:val="1"/>
        <w:bCs w:val="1"/>
        <w:sz w:val="6"/>
        <w:szCs w:val="6"/>
        <w:u w:val="single"/>
      </w:rPr>
    </w:pPr>
    <w:r w:rsidDel="00000000" w:rsidR="00000000" w:rsidRPr="00000000">
      <w:rPr>
        <w:rtl w:val="0"/>
      </w:rPr>
    </w:r>
  </w:p>
  <w:p w:rsidR="00000000" w:rsidDel="00000000" w:rsidP="00000000" w:rsidRDefault="00000000" w:rsidRPr="00000000" w14:paraId="00000016">
    <w:pPr>
      <w:tabs>
        <w:tab w:val="center" w:leader="none" w:pos="4252"/>
        <w:tab w:val="right" w:leader="none" w:pos="8504"/>
      </w:tabs>
      <w:spacing w:after="0" w:line="240" w:lineRule="auto"/>
      <w:jc w:val="left"/>
      <w:rPr>
        <w:b w:val="1"/>
        <w:bCs w:val="1"/>
        <w:sz w:val="6"/>
        <w:szCs w:val="6"/>
        <w:u w:val="single"/>
      </w:rPr>
    </w:pPr>
    <w:r w:rsidDel="00000000" w:rsidR="00000000" w:rsidRPr="00000000">
      <w:rPr>
        <w:rtl w:val="0"/>
      </w:rPr>
    </w:r>
  </w:p>
  <w:p w:rsidR="00000000" w:rsidDel="00000000" w:rsidP="00000000" w:rsidRDefault="00000000" w:rsidRPr="00000000" w14:paraId="00000017">
    <w:pPr>
      <w:tabs>
        <w:tab w:val="center" w:leader="none" w:pos="4252"/>
        <w:tab w:val="right" w:leader="none" w:pos="8504"/>
      </w:tabs>
      <w:spacing w:after="0" w:line="240" w:lineRule="auto"/>
      <w:jc w:val="left"/>
      <w:rPr>
        <w:b w:val="1"/>
        <w:bCs w:val="1"/>
        <w:sz w:val="6"/>
        <w:szCs w:val="6"/>
        <w:u w:val="single"/>
      </w:rPr>
    </w:pPr>
    <w:r w:rsidDel="00000000" w:rsidR="00000000" w:rsidRPr="00000000">
      <w:rPr>
        <w:rtl w:val="0"/>
      </w:rPr>
    </w:r>
  </w:p>
  <w:p w:rsidR="00000000" w:rsidDel="00000000" w:rsidP="00000000" w:rsidRDefault="00000000" w:rsidRPr="00000000" w14:paraId="00000018">
    <w:pPr>
      <w:tabs>
        <w:tab w:val="center" w:leader="none" w:pos="4252"/>
        <w:tab w:val="right" w:leader="none" w:pos="8504"/>
      </w:tabs>
      <w:spacing w:after="0" w:line="240" w:lineRule="auto"/>
      <w:jc w:val="left"/>
      <w:rPr>
        <w:b w:val="1"/>
        <w:bCs w:val="1"/>
        <w:sz w:val="6"/>
        <w:szCs w:val="6"/>
        <w:u w:val="single"/>
      </w:rPr>
    </w:pPr>
    <w:r w:rsidDel="00000000" w:rsidR="00000000" w:rsidRPr="00000000">
      <w:rPr>
        <w:rtl w:val="0"/>
      </w:rPr>
    </w:r>
  </w:p>
  <w:p w:rsidR="00000000" w:rsidDel="00000000" w:rsidP="00000000" w:rsidRDefault="00000000" w:rsidRPr="00000000" w14:paraId="00000019">
    <w:pPr>
      <w:tabs>
        <w:tab w:val="center" w:leader="none" w:pos="4252"/>
        <w:tab w:val="right" w:leader="none" w:pos="8504"/>
      </w:tabs>
      <w:spacing w:after="0" w:line="240" w:lineRule="auto"/>
      <w:jc w:val="left"/>
      <w:rPr>
        <w:b w:val="1"/>
        <w:bCs w:val="1"/>
        <w:sz w:val="6"/>
        <w:szCs w:val="6"/>
        <w:u w:val="single"/>
      </w:rPr>
    </w:pPr>
    <w:r w:rsidDel="00000000" w:rsidR="00000000" w:rsidRPr="00000000">
      <w:rPr>
        <w:b w:val="1"/>
        <w:bCs w:val="1"/>
        <w:sz w:val="6"/>
        <w:szCs w:val="6"/>
        <w:u w:val="single"/>
      </w:rPr>
      <w:drawing>
        <wp:inline distB="114300" distT="114300" distL="114300" distR="114300">
          <wp:extent cx="5399730" cy="952500"/>
          <wp:effectExtent b="0" l="0" r="0" t="0"/>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73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tabs>
        <w:tab w:val="center" w:leader="none" w:pos="4252"/>
        <w:tab w:val="right" w:leader="none" w:pos="8504"/>
      </w:tabs>
      <w:spacing w:after="0" w:line="240" w:lineRule="auto"/>
      <w:rPr>
        <w:b w:val="1"/>
        <w:bCs w:val="1"/>
        <w:sz w:val="44"/>
        <w:szCs w:val="44"/>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spacing w:after="0" w:line="240" w:lineRule="auto"/>
      <w:jc w:val="right"/>
    </w:pPr>
    <w:rPr>
      <w:rFonts w:ascii="Arial Narrow" w:cs="Arial Narrow" w:eastAsia="Arial Narrow" w:hAnsi="Arial Narrow"/>
      <w:b w:val="1"/>
      <w:bCs w:val="1"/>
      <w:color w:val="808080"/>
      <w:sz w:val="96"/>
      <w:szCs w:val="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spacing w:after="0" w:before="40" w:lineRule="auto"/>
    </w:pPr>
    <w:rPr>
      <w:rFonts w:ascii="Cambria" w:cs="Cambria" w:eastAsia="Cambria" w:hAnsi="Cambria"/>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nhideWhenUsed w:val="1"/>
    <w:rsid w:val="00847A4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semiHidden w:val="1"/>
    <w:rsid w:val="00847A47"/>
  </w:style>
  <w:style w:type="paragraph" w:styleId="Piedepgina">
    <w:name w:val="footer"/>
    <w:basedOn w:val="Normal"/>
    <w:link w:val="PiedepginaCar"/>
    <w:uiPriority w:val="99"/>
    <w:unhideWhenUsed w:val="1"/>
    <w:rsid w:val="00847A4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47A47"/>
  </w:style>
  <w:style w:type="paragraph" w:styleId="Textodeglobo">
    <w:name w:val="Balloon Text"/>
    <w:basedOn w:val="Normal"/>
    <w:link w:val="TextodegloboCar"/>
    <w:uiPriority w:val="99"/>
    <w:semiHidden w:val="1"/>
    <w:unhideWhenUsed w:val="1"/>
    <w:rsid w:val="00847A47"/>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47A47"/>
    <w:rPr>
      <w:rFonts w:ascii="Tahoma" w:cs="Tahoma" w:hAnsi="Tahoma"/>
      <w:sz w:val="16"/>
      <w:szCs w:val="16"/>
    </w:rPr>
  </w:style>
  <w:style w:type="character" w:styleId="Ttulo4Car" w:customStyle="1">
    <w:name w:val="Título 4 Car"/>
    <w:basedOn w:val="Fuentedeprrafopredeter"/>
    <w:link w:val="Ttulo4"/>
    <w:rsid w:val="004C6948"/>
    <w:rPr>
      <w:rFonts w:ascii="Arial Narrow" w:cs="Arial" w:eastAsia="Times New Roman" w:hAnsi="Arial Narrow"/>
      <w:b w:val="1"/>
      <w:bCs w:val="1"/>
      <w:color w:val="808080"/>
      <w:sz w:val="96"/>
      <w:szCs w:val="20"/>
      <w:lang w:eastAsia="es-ES"/>
    </w:rPr>
  </w:style>
  <w:style w:type="paragraph" w:styleId="NotadePrensa-Cuerpo" w:customStyle="1">
    <w:name w:val="Nota de Prensa-Cuerpo"/>
    <w:basedOn w:val="Sangradetextonormal"/>
    <w:rsid w:val="004C6948"/>
    <w:pPr>
      <w:spacing w:after="0" w:line="240" w:lineRule="auto"/>
      <w:ind w:left="1980" w:right="181"/>
      <w:jc w:val="both"/>
    </w:pPr>
    <w:rPr>
      <w:rFonts w:ascii="Arial" w:cs="Arial" w:eastAsia="Times New Roman" w:hAnsi="Arial"/>
      <w:sz w:val="24"/>
      <w:szCs w:val="24"/>
      <w:lang w:eastAsia="es-ES"/>
    </w:rPr>
  </w:style>
  <w:style w:type="paragraph" w:styleId="Sangradetextonormal">
    <w:name w:val="Body Text Indent"/>
    <w:basedOn w:val="Normal"/>
    <w:link w:val="SangradetextonormalCar"/>
    <w:uiPriority w:val="99"/>
    <w:semiHidden w:val="1"/>
    <w:unhideWhenUsed w:val="1"/>
    <w:rsid w:val="004C6948"/>
    <w:pPr>
      <w:spacing w:after="120"/>
      <w:ind w:left="283"/>
    </w:pPr>
  </w:style>
  <w:style w:type="character" w:styleId="SangradetextonormalCar" w:customStyle="1">
    <w:name w:val="Sangría de texto normal Car"/>
    <w:basedOn w:val="Fuentedeprrafopredeter"/>
    <w:link w:val="Sangradetextonormal"/>
    <w:uiPriority w:val="99"/>
    <w:semiHidden w:val="1"/>
    <w:rsid w:val="004C6948"/>
  </w:style>
  <w:style w:type="character" w:styleId="Hipervnculo">
    <w:name w:val="Hyperlink"/>
    <w:semiHidden w:val="1"/>
    <w:rsid w:val="009E1624"/>
    <w:rPr>
      <w:color w:val="0000ff"/>
      <w:u w:val="single"/>
    </w:rPr>
  </w:style>
  <w:style w:type="paragraph" w:styleId="Estilo2" w:customStyle="1">
    <w:name w:val="Estilo2"/>
    <w:basedOn w:val="Normal"/>
    <w:next w:val="Normal"/>
    <w:rsid w:val="006C4E95"/>
    <w:pPr>
      <w:spacing w:after="0" w:line="240" w:lineRule="auto"/>
      <w:jc w:val="both"/>
    </w:pPr>
    <w:rPr>
      <w:rFonts w:ascii="Arial" w:cs="Arial" w:eastAsia="Times New Roman" w:hAnsi="Arial"/>
      <w:b w:val="1"/>
      <w:sz w:val="24"/>
      <w:szCs w:val="20"/>
      <w:lang w:eastAsia="es-ES"/>
    </w:rPr>
  </w:style>
  <w:style w:type="table" w:styleId="Tablaconcuadrcula">
    <w:name w:val="Table Grid"/>
    <w:basedOn w:val="Tablanormal"/>
    <w:uiPriority w:val="59"/>
    <w:rsid w:val="009541E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UNO" w:customStyle="1">
    <w:name w:val="UNO"/>
    <w:basedOn w:val="Normal"/>
    <w:next w:val="Normal"/>
    <w:autoRedefine w:val="1"/>
    <w:rsid w:val="00AB4AB1"/>
    <w:pPr>
      <w:spacing w:after="0" w:line="240" w:lineRule="auto"/>
      <w:outlineLvl w:val="0"/>
    </w:pPr>
    <w:rPr>
      <w:rFonts w:ascii="Arial" w:cs="Arial" w:eastAsia="Times New Roman" w:hAnsi="Arial"/>
      <w:b w:val="1"/>
      <w:caps w:val="1"/>
      <w:sz w:val="32"/>
      <w:szCs w:val="20"/>
      <w:lang w:eastAsia="es-ES"/>
    </w:rPr>
  </w:style>
  <w:style w:type="character" w:styleId="lrzxr" w:customStyle="1">
    <w:name w:val="lrzxr"/>
    <w:basedOn w:val="Fuentedeprrafopredeter"/>
    <w:rsid w:val="00B1056F"/>
  </w:style>
  <w:style w:type="character" w:styleId="Mencinsinresolver1" w:customStyle="1">
    <w:name w:val="Mención sin resolver1"/>
    <w:basedOn w:val="Fuentedeprrafopredeter"/>
    <w:uiPriority w:val="99"/>
    <w:semiHidden w:val="1"/>
    <w:unhideWhenUsed w:val="1"/>
    <w:rsid w:val="00AB0EA0"/>
    <w:rPr>
      <w:color w:val="605e5c"/>
      <w:shd w:color="auto" w:fill="e1dfdd" w:val="clear"/>
    </w:rPr>
  </w:style>
  <w:style w:type="paragraph" w:styleId="Standard" w:customStyle="1">
    <w:name w:val="Standard"/>
    <w:uiPriority w:val="99"/>
    <w:rsid w:val="00EE688C"/>
    <w:pPr>
      <w:suppressAutoHyphens w:val="1"/>
      <w:spacing w:after="0" w:line="240" w:lineRule="auto"/>
      <w:textAlignment w:val="baseline"/>
    </w:pPr>
    <w:rPr>
      <w:rFonts w:ascii="Arial" w:cs="Arial" w:eastAsia="Calibri" w:hAnsi="Arial"/>
      <w:kern w:val="1"/>
      <w:sz w:val="24"/>
      <w:szCs w:val="20"/>
      <w:lang w:eastAsia="zh-CN"/>
    </w:rPr>
  </w:style>
  <w:style w:type="character" w:styleId="Ttulo6Car" w:customStyle="1">
    <w:name w:val="Título 6 Car"/>
    <w:basedOn w:val="Fuentedeprrafopredeter"/>
    <w:link w:val="Ttulo6"/>
    <w:rsid w:val="0048304F"/>
    <w:rPr>
      <w:rFonts w:asciiTheme="majorHAnsi" w:cstheme="majorBidi" w:eastAsiaTheme="majorEastAsia" w:hAnsiTheme="majorHAnsi"/>
      <w:color w:val="243f60" w:themeColor="accent1" w:themeShade="00007F"/>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GillSans-regular.ttf"/><Relationship Id="rId6"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hyperlink" Target="http://www.asc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glTDlXZc8YM757FpB4y8mESaTQ==">CgMxLjAyDmgudThodWNpcDJ4NnVlOABqKQoUc3VnZ2VzdC43eWMzOTN3OG5pM2ESEUFTQ00gQ29tdW5pY2FjaW9uciExUURnSzRxb2NtUU1QamVsS2lGWThHY3ZzcmRFSG5sR0Y=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2025-03-03T13:35:00Z</dcterms:created>
  <dc:creator>W36834U</dc:creator>
</cp:coreProperties>
</file>