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50.8661417322827"/>
        <w:rPr/>
        <w:sectPr>
          <w:headerReference r:id="rId7" w:type="default"/>
          <w:footerReference r:id="rId8" w:type="default"/>
          <w:pgSz w:h="16838" w:w="11906" w:orient="portrait"/>
          <w:pgMar w:bottom="1417" w:top="1810" w:left="1701" w:right="1701" w:header="227" w:footer="0"/>
          <w:pgNumType w:start="1"/>
        </w:sectPr>
      </w:pPr>
      <w:r w:rsidDel="00000000" w:rsidR="00000000" w:rsidRPr="00000000">
        <w:rPr>
          <w:rtl w:val="0"/>
        </w:rPr>
      </w:r>
    </w:p>
    <w:p w:rsidR="00000000" w:rsidDel="00000000" w:rsidP="00000000" w:rsidRDefault="00000000" w:rsidRPr="00000000" w14:paraId="00000002">
      <w:pPr>
        <w:pStyle w:val="Heading1"/>
        <w:keepNext w:val="0"/>
        <w:keepLines w:val="0"/>
        <w:tabs>
          <w:tab w:val="left" w:leader="none" w:pos="888"/>
        </w:tabs>
        <w:spacing w:after="240" w:before="240" w:line="288" w:lineRule="auto"/>
        <w:jc w:val="both"/>
        <w:rPr>
          <w:rFonts w:ascii="Arial" w:cs="Arial" w:eastAsia="Arial" w:hAnsi="Arial"/>
          <w:sz w:val="46"/>
          <w:szCs w:val="46"/>
        </w:rPr>
      </w:pPr>
      <w:bookmarkStart w:colFirst="0" w:colLast="0" w:name="_heading=h.ginfdm2o6myu" w:id="0"/>
      <w:bookmarkEnd w:id="0"/>
      <w:r w:rsidDel="00000000" w:rsidR="00000000" w:rsidRPr="00000000">
        <w:rPr>
          <w:rFonts w:ascii="Arial" w:cs="Arial" w:eastAsia="Arial" w:hAnsi="Arial"/>
          <w:color w:val="333333"/>
          <w:sz w:val="46"/>
          <w:szCs w:val="46"/>
          <w:rtl w:val="0"/>
        </w:rPr>
        <w:t xml:space="preserve">Marisa Maliaño desmonta en el Ágora Luis Toca los mitos biológicos que sostienen el patriarcado</w:t>
      </w:r>
      <w:r w:rsidDel="00000000" w:rsidR="00000000" w:rsidRPr="00000000">
        <w:rPr>
          <w:rtl w:val="0"/>
        </w:rPr>
      </w:r>
    </w:p>
    <w:p w:rsidR="00000000" w:rsidDel="00000000" w:rsidP="00000000" w:rsidRDefault="00000000" w:rsidRPr="00000000" w14:paraId="00000003">
      <w:pPr>
        <w:tabs>
          <w:tab w:val="left" w:leader="none" w:pos="888"/>
        </w:tabs>
        <w:rPr/>
      </w:pPr>
      <w:r w:rsidDel="00000000" w:rsidR="00000000" w:rsidRPr="00000000">
        <w:rPr>
          <w:rtl w:val="0"/>
        </w:rPr>
      </w:r>
    </w:p>
    <w:p w:rsidR="00000000" w:rsidDel="00000000" w:rsidP="00000000" w:rsidRDefault="00000000" w:rsidRPr="00000000" w14:paraId="00000004">
      <w:pPr>
        <w:numPr>
          <w:ilvl w:val="0"/>
          <w:numId w:val="1"/>
        </w:numPr>
        <w:tabs>
          <w:tab w:val="left" w:leader="none" w:pos="851"/>
        </w:tabs>
        <w:spacing w:after="240" w:before="240" w:line="240" w:lineRule="auto"/>
        <w:ind w:left="720" w:hanging="360"/>
        <w:rPr>
          <w:rFonts w:ascii="Arial" w:cs="Arial" w:eastAsia="Arial" w:hAnsi="Arial"/>
          <w:sz w:val="30"/>
          <w:szCs w:val="30"/>
        </w:rPr>
      </w:pPr>
      <w:r w:rsidDel="00000000" w:rsidR="00000000" w:rsidRPr="00000000">
        <w:rPr>
          <w:rFonts w:ascii="Arial" w:cs="Arial" w:eastAsia="Arial" w:hAnsi="Arial"/>
          <w:b w:val="1"/>
          <w:bCs w:val="1"/>
          <w:sz w:val="30"/>
          <w:szCs w:val="30"/>
          <w:rtl w:val="0"/>
        </w:rPr>
        <w:t xml:space="preserve">La médica y ecoactivista ofrecerá el 5 de marzo en Santander una charla sobre evidencias científicas a favor de la igualdad social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u w:val="single"/>
          <w:rtl w:val="0"/>
        </w:rPr>
        <w:t xml:space="preserve">3 </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de</w:t>
      </w:r>
      <w:r w:rsidDel="00000000" w:rsidR="00000000" w:rsidRPr="00000000">
        <w:rPr>
          <w:rFonts w:ascii="Arial Narrow" w:cs="Arial Narrow" w:eastAsia="Arial Narrow" w:hAnsi="Arial Narrow"/>
          <w:sz w:val="28"/>
          <w:szCs w:val="28"/>
          <w:u w:val="single"/>
          <w:rtl w:val="0"/>
        </w:rPr>
        <w:t xml:space="preserve"> marzo </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202</w:t>
      </w:r>
      <w:r w:rsidDel="00000000" w:rsidR="00000000" w:rsidRPr="00000000">
        <w:rPr>
          <w:rFonts w:ascii="Arial Narrow" w:cs="Arial Narrow" w:eastAsia="Arial Narrow" w:hAnsi="Arial Narrow"/>
          <w:sz w:val="28"/>
          <w:szCs w:val="28"/>
          <w:u w:val="single"/>
          <w:rtl w:val="0"/>
        </w:rPr>
        <w:t xml:space="preserve">6</w:t>
      </w:r>
      <w:r w:rsidDel="00000000" w:rsidR="00000000" w:rsidRPr="00000000">
        <w:rPr>
          <w:rFonts w:ascii="Arial Narrow" w:cs="Arial Narrow" w:eastAsia="Arial Narrow" w:hAnsi="Arial Narrow"/>
          <w:b w:val="0"/>
          <w:bCs w:val="0"/>
          <w:i w:val="0"/>
          <w:iCs w:val="0"/>
          <w:smallCaps w:val="0"/>
          <w:strike w:val="0"/>
          <w:color w:val="000000"/>
          <w:sz w:val="28"/>
          <w:szCs w:val="28"/>
          <w:u w:val="single"/>
          <w:shd w:fill="auto" w:val="clear"/>
          <w:vertAlign w:val="baseline"/>
          <w:rtl w:val="0"/>
        </w:rPr>
        <w:t xml:space="preserve">.-</w:t>
      </w: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Narrow" w:cs="Arial Narrow" w:eastAsia="Arial Narrow" w:hAnsi="Arial Narrow"/>
          <w:sz w:val="28"/>
          <w:szCs w:val="28"/>
          <w:rtl w:val="0"/>
        </w:rPr>
        <w:t xml:space="preserve">El Ágora Solidaria Cultura y Memoria Luis Toca (ASCM), en la calle Juan XXIII de Santander, acogerá el próximo jueves 5 de marzo, a las 19.00 horas, la charla ‘La ciencia contra el patriarcado: evidencias para el cambio social’, una propuesta que invita a revisar, desde el conocimiento científico, algunas de las ideas que durante décadas se han dado por sentadas en torno a las diferencias entre hombres y mujeres.</w:t>
      </w:r>
    </w:p>
    <w:p w:rsidR="00000000" w:rsidDel="00000000" w:rsidP="00000000" w:rsidRDefault="00000000" w:rsidRPr="00000000" w14:paraId="00000007">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sesión será impartida por Marisa Maliaño Toca, médica, feminista y ecoactivista, integrante del área feminista de Ecologistas en Acción Cantabria. La entrada será libre hasta completar el aforo.</w:t>
      </w:r>
    </w:p>
    <w:p w:rsidR="00000000" w:rsidDel="00000000" w:rsidP="00000000" w:rsidRDefault="00000000" w:rsidRPr="00000000" w14:paraId="00000008">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ponencia parte de una tesis clara: el patriarcado no responde a una supuesta determinación biológica inmutable, sino que es una construcción social sostenida por normas, instituciones y relatos culturales que han terminado presentándose como “naturales”. Frente a ello, la divulgadora propone apoyarse en datos y estudios contrastados para cuestionar mitos arraigados y respaldar transformaciones sociales más igualitarias.</w:t>
      </w:r>
    </w:p>
    <w:p w:rsidR="00000000" w:rsidDel="00000000" w:rsidP="00000000" w:rsidRDefault="00000000" w:rsidRPr="00000000" w14:paraId="00000009">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A lo largo de la intervención se abordarán distintos campos del conocimiento. Desde la neurociencia, se analizará cómo la idea de un “cerebro masculino” y otro “femenino” carece de respaldo sólido, al existir una enorme plasticidad cerebral influida por la experiencia. En el ámbito de la psicología evolutiva, se revisarán las interpretaciones simplistas que han justificado roles de género rígidos apelando a un pasado cazador-recolector.</w:t>
      </w:r>
    </w:p>
    <w:p w:rsidR="00000000" w:rsidDel="00000000" w:rsidP="00000000" w:rsidRDefault="00000000" w:rsidRPr="00000000" w14:paraId="0000000A">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antropología servirá para poner sobre la mesa ejemplos de sociedades en las que el patriarcado no ha sido la norma dominante, con estructuras matrilineales o modelos comunitarios distintos en la gestión de la herencia y los cuidados. También la biología aportará evidencias sobre la diversidad sexual en la naturaleza, con casos documentados de cambios de sexo en distintas especies, conductas homosexuales frecuentes o machos gestantes, como ocurre en los caballitos de mar.</w:t>
      </w:r>
    </w:p>
    <w:p w:rsidR="00000000" w:rsidDel="00000000" w:rsidP="00000000" w:rsidRDefault="00000000" w:rsidRPr="00000000" w14:paraId="0000000B">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La exposición se completará con referencias a la sociología y la economía conductual, ámbitos en los que se han estudiado fenómenos como la brecha salarial, la infrarrepresentación femenina en determinados sectores o los sesgos inconscientes en procesos de selección, donde un mismo currículum obtiene valoraciones diferentes en función del nombre que lo encabece.</w:t>
      </w:r>
    </w:p>
    <w:p w:rsidR="00000000" w:rsidDel="00000000" w:rsidP="00000000" w:rsidRDefault="00000000" w:rsidRPr="00000000" w14:paraId="0000000C">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Más allá del análisis teórico, la charla pondrá el acento en las consecuencias prácticas de la igualdad. Según se planteará, sociedades con menores niveles de desigualdad registran mejoras medibles en salud pública, bienestar infantil, reducción de la violencia y desarrollo económico sostenible.</w:t>
      </w:r>
    </w:p>
    <w:p w:rsidR="00000000" w:rsidDel="00000000" w:rsidP="00000000" w:rsidRDefault="00000000" w:rsidRPr="00000000" w14:paraId="0000000D">
      <w:pPr>
        <w:spacing w:after="240" w:before="240" w:line="240" w:lineRule="auto"/>
        <w:jc w:val="both"/>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Trayectoria</w:t>
      </w:r>
    </w:p>
    <w:p w:rsidR="00000000" w:rsidDel="00000000" w:rsidP="00000000" w:rsidRDefault="00000000" w:rsidRPr="00000000" w14:paraId="0000000E">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Marisa Maliaño Toca es licenciada en Medicina por la Universidad de Cantabria y comenzó su carrera como médica rural en la comunidad autónoma. Posteriormente ejerció en Melilla, donde asumió responsabilidades como secretaria de Empleo y Formación de CCOO y puso en marcha el FOREM.</w:t>
      </w:r>
    </w:p>
    <w:p w:rsidR="00000000" w:rsidDel="00000000" w:rsidP="00000000" w:rsidRDefault="00000000" w:rsidRPr="00000000" w14:paraId="0000000F">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Durante más de dos décadas fue profesora titular de Microbiología en el Ciclo Superior de Formación Profesional de Análisis Clínicos en Santander, etapa en la que también impartió formación dirigida al profesorado. Desde 2012 participa en espacios de divulgación científica, como el Skeptik Camp de Madrid, y mantiene el blog ‘Los microbios no son machistas’, centrado en ciencia con perspectiva feminista.</w:t>
      </w:r>
    </w:p>
    <w:p w:rsidR="00000000" w:rsidDel="00000000" w:rsidP="00000000" w:rsidRDefault="00000000" w:rsidRPr="00000000" w14:paraId="00000010">
      <w:pPr>
        <w:spacing w:after="240" w:before="240" w:line="240" w:lineRule="auto"/>
        <w:jc w:val="both"/>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Comprometida con la defensa de los ecosistemas y la biodiversidad, ha colaborado en iniciativas de protección del litoral santanderino y comparte su afición por la navegación en el blog ‘Navegar en el Narval’, donde relata sus travesías a vela.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1" w:firstLine="0"/>
        <w:jc w:val="both"/>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i w:val="1"/>
          <w:iCs w:val="1"/>
          <w:sz w:val="28"/>
          <w:szCs w:val="28"/>
        </w:rPr>
      </w:pPr>
      <w:r w:rsidDel="00000000" w:rsidR="00000000" w:rsidRPr="00000000">
        <w:rPr>
          <w:rFonts w:ascii="Arial Narrow" w:cs="Arial Narrow" w:eastAsia="Arial Narrow" w:hAnsi="Arial Narrow"/>
          <w:i w:val="1"/>
          <w:iCs w:val="1"/>
          <w:sz w:val="28"/>
          <w:szCs w:val="28"/>
          <w:rtl w:val="0"/>
        </w:rPr>
        <w:t xml:space="preserve">Se adjunta fotografía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181" w:firstLine="0"/>
        <w:jc w:val="both"/>
        <w:rPr>
          <w:rFonts w:ascii="Arial Narrow" w:cs="Arial Narrow" w:eastAsia="Arial Narrow" w:hAnsi="Arial Narrow"/>
          <w:i w:val="1"/>
          <w:iCs w:val="1"/>
          <w:sz w:val="28"/>
          <w:szCs w:val="28"/>
        </w:rPr>
      </w:pPr>
      <w:r w:rsidDel="00000000" w:rsidR="00000000" w:rsidRPr="00000000">
        <w:rPr>
          <w:rtl w:val="0"/>
        </w:rPr>
      </w:r>
    </w:p>
    <w:sectPr>
      <w:type w:val="continuous"/>
      <w:pgSz w:h="16838" w:w="11906" w:orient="portrait"/>
      <w:pgMar w:bottom="1417" w:top="1810" w:left="1701" w:right="1701" w:header="28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widowControl w:val="0"/>
      <w:spacing w:after="0" w:lineRule="auto"/>
      <w:rPr/>
    </w:pPr>
    <w:r w:rsidDel="00000000" w:rsidR="00000000" w:rsidRPr="00000000">
      <w:rPr>
        <w:rtl w:val="0"/>
      </w:rPr>
    </w:r>
  </w:p>
  <w:tbl>
    <w:tblPr>
      <w:tblStyle w:val="Table1"/>
      <w:tblW w:w="11100.0" w:type="dxa"/>
      <w:jc w:val="left"/>
      <w:tblInd w:w="-1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380"/>
      <w:gridCol w:w="6400"/>
      <w:gridCol w:w="2320"/>
      <w:tblGridChange w:id="0">
        <w:tblGrid>
          <w:gridCol w:w="2000"/>
          <w:gridCol w:w="380"/>
          <w:gridCol w:w="6400"/>
          <w:gridCol w:w="2320"/>
        </w:tblGrid>
      </w:tblGridChange>
    </w:tblGrid>
    <w:tr>
      <w:trPr>
        <w:cantSplit w:val="0"/>
        <w:trHeight w:val="12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tabs>
              <w:tab w:val="center" w:leader="none" w:pos="4252"/>
              <w:tab w:val="right" w:leader="none" w:pos="8504"/>
            </w:tabs>
            <w:rPr>
              <w:rFonts w:ascii="Gill Sans" w:cs="Gill Sans" w:eastAsia="Gill Sans" w:hAnsi="Gill Sans"/>
              <w:sz w:val="10"/>
              <w:szCs w:val="10"/>
            </w:rPr>
          </w:pPr>
          <w:r w:rsidDel="00000000" w:rsidR="00000000" w:rsidRPr="00000000">
            <w:rPr>
              <w:rFonts w:ascii="Gill Sans" w:cs="Gill Sans" w:eastAsia="Gill Sans" w:hAnsi="Gill Sans"/>
              <w:sz w:val="10"/>
              <w:szCs w:val="10"/>
              <w:rtl w:val="0"/>
            </w:rPr>
            <w:t xml:space="preserve">CORREO ELECTRÓNICO</w:t>
          </w:r>
        </w:p>
        <w:p w:rsidR="00000000" w:rsidDel="00000000" w:rsidP="00000000" w:rsidRDefault="00000000" w:rsidRPr="00000000" w14:paraId="0000001E">
          <w:pPr>
            <w:tabs>
              <w:tab w:val="center" w:leader="none" w:pos="4252"/>
              <w:tab w:val="right" w:leader="none" w:pos="8504"/>
            </w:tabs>
            <w:rPr/>
          </w:pPr>
          <w:r w:rsidDel="00000000" w:rsidR="00000000" w:rsidRPr="00000000">
            <w:rPr>
              <w:rFonts w:ascii="Arial Narrow" w:cs="Arial Narrow" w:eastAsia="Arial Narrow" w:hAnsi="Arial Narrow"/>
              <w:sz w:val="16"/>
              <w:szCs w:val="16"/>
              <w:rtl w:val="0"/>
            </w:rPr>
            <w:t xml:space="preserve">prensa@ascm.es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1F">
          <w:pPr>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SECRETARÍA DE COMUNICACIÓN</w:t>
          </w:r>
        </w:p>
        <w:p w:rsidR="00000000" w:rsidDel="00000000" w:rsidP="00000000" w:rsidRDefault="00000000" w:rsidRPr="00000000" w14:paraId="00000020">
          <w:pPr>
            <w:tabs>
              <w:tab w:val="center" w:leader="none" w:pos="4252"/>
              <w:tab w:val="right" w:leader="none" w:pos="8504"/>
            </w:tabs>
            <w:jc w:val="center"/>
            <w:rPr>
              <w:rFonts w:ascii="Arial Narrow" w:cs="Arial Narrow" w:eastAsia="Arial Narrow" w:hAnsi="Arial Narrow"/>
              <w:b w:val="1"/>
              <w:bCs w:val="1"/>
              <w:color w:val="0000ff"/>
              <w:u w:val="single"/>
            </w:rPr>
          </w:pPr>
          <w:hyperlink r:id="rId1">
            <w:r w:rsidDel="00000000" w:rsidR="00000000" w:rsidRPr="00000000">
              <w:rPr>
                <w:rFonts w:ascii="Arial Narrow" w:cs="Arial Narrow" w:eastAsia="Arial Narrow" w:hAnsi="Arial Narrow"/>
                <w:b w:val="1"/>
                <w:bCs w:val="1"/>
                <w:color w:val="1155cc"/>
                <w:u w:val="single"/>
                <w:rtl w:val="0"/>
              </w:rPr>
              <w:t xml:space="preserve">WWW.ASCM.ES</w:t>
            </w:r>
          </w:hyperlink>
          <w:r w:rsidDel="00000000" w:rsidR="00000000" w:rsidRPr="00000000">
            <w:rPr>
              <w:rtl w:val="0"/>
            </w:rPr>
          </w:r>
        </w:p>
        <w:p w:rsidR="00000000" w:rsidDel="00000000" w:rsidP="00000000" w:rsidRDefault="00000000" w:rsidRPr="00000000" w14:paraId="00000021">
          <w:pPr>
            <w:tabs>
              <w:tab w:val="center" w:leader="none" w:pos="4252"/>
              <w:tab w:val="right" w:leader="none" w:pos="8504"/>
            </w:tabs>
            <w:jc w:val="center"/>
            <w:rPr/>
          </w:pPr>
          <w:r w:rsidDel="00000000" w:rsidR="00000000" w:rsidRPr="00000000">
            <w:rPr>
              <w:rtl w:val="0"/>
            </w:rPr>
          </w:r>
        </w:p>
      </w:tc>
      <w:tc>
        <w:tcPr>
          <w:vMerge w:val="restart"/>
          <w:tcBorders>
            <w:top w:color="000000" w:space="0" w:sz="0" w:val="nil"/>
            <w:left w:color="000000" w:space="0" w:sz="4" w:val="single"/>
            <w:right w:color="000000" w:space="0" w:sz="0" w:val="nil"/>
          </w:tcBorders>
        </w:tcPr>
        <w:p w:rsidR="00000000" w:rsidDel="00000000" w:rsidP="00000000" w:rsidRDefault="00000000" w:rsidRPr="00000000" w14:paraId="00000023">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Dirección postal</w:t>
          </w:r>
        </w:p>
        <w:p w:rsidR="00000000" w:rsidDel="00000000" w:rsidP="00000000" w:rsidRDefault="00000000" w:rsidRPr="00000000" w14:paraId="00000024">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juan XXIII, 22, Santander, Cantabria</w:t>
          </w:r>
        </w:p>
        <w:p w:rsidR="00000000" w:rsidDel="00000000" w:rsidP="00000000" w:rsidRDefault="00000000" w:rsidRPr="00000000" w14:paraId="00000025">
          <w:pPr>
            <w:tabs>
              <w:tab w:val="center" w:leader="none" w:pos="4252"/>
              <w:tab w:val="right" w:leader="none" w:pos="8504"/>
            </w:tabs>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6">
          <w:pPr>
            <w:tabs>
              <w:tab w:val="center" w:leader="none" w:pos="4252"/>
              <w:tab w:val="right" w:leader="none" w:pos="8504"/>
            </w:tabs>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7">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Teléfono de prensa</w:t>
          </w:r>
        </w:p>
        <w:p w:rsidR="00000000" w:rsidDel="00000000" w:rsidP="00000000" w:rsidRDefault="00000000" w:rsidRPr="00000000" w14:paraId="00000028">
          <w:pPr>
            <w:tabs>
              <w:tab w:val="center" w:leader="none" w:pos="4252"/>
              <w:tab w:val="right" w:leader="none" w:pos="8504"/>
            </w:tabs>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609841742</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tabs>
              <w:tab w:val="center" w:leader="none" w:pos="4252"/>
              <w:tab w:val="right" w:leader="none" w:pos="8504"/>
            </w:tabs>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B">
          <w:pPr>
            <w:tabs>
              <w:tab w:val="center" w:leader="none" w:pos="4252"/>
              <w:tab w:val="right" w:leader="none" w:pos="8504"/>
            </w:tabs>
            <w:rPr/>
          </w:pPr>
          <w:r w:rsidDel="00000000" w:rsidR="00000000" w:rsidRPr="00000000">
            <w:rPr>
              <w:rtl w:val="0"/>
            </w:rPr>
          </w:r>
        </w:p>
      </w:tc>
      <w:tc>
        <w:tcPr>
          <w:vMerge w:val="continue"/>
          <w:tcBorders>
            <w:top w:color="000000" w:space="0" w:sz="0" w:val="nil"/>
            <w:left w:color="000000" w:space="0" w:sz="4" w:val="single"/>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2D">
    <w:pPr>
      <w:tabs>
        <w:tab w:val="center" w:leader="none" w:pos="4252"/>
        <w:tab w:val="right" w:leader="none" w:pos="8504"/>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6">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7">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9">
    <w:pPr>
      <w:tabs>
        <w:tab w:val="center" w:leader="none" w:pos="4252"/>
        <w:tab w:val="right" w:leader="none" w:pos="8504"/>
      </w:tabs>
      <w:spacing w:after="0" w:line="240" w:lineRule="auto"/>
      <w:jc w:val="left"/>
      <w:rPr>
        <w:b w:val="1"/>
        <w:bCs w:val="1"/>
        <w:sz w:val="6"/>
        <w:szCs w:val="6"/>
        <w:u w:val="single"/>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0" w:line="240" w:lineRule="auto"/>
      <w:jc w:val="left"/>
      <w:rPr>
        <w:b w:val="1"/>
        <w:bCs w:val="1"/>
        <w:sz w:val="6"/>
        <w:szCs w:val="6"/>
        <w:u w:val="single"/>
      </w:rPr>
    </w:pPr>
    <w:r w:rsidDel="00000000" w:rsidR="00000000" w:rsidRPr="00000000">
      <w:rPr>
        <w:b w:val="1"/>
        <w:bCs w:val="1"/>
        <w:sz w:val="6"/>
        <w:szCs w:val="6"/>
        <w:u w:val="single"/>
      </w:rPr>
      <w:drawing>
        <wp:inline distB="114300" distT="114300" distL="114300" distR="114300">
          <wp:extent cx="5399730" cy="952500"/>
          <wp:effectExtent b="0" l="0" r="0" t="0"/>
          <wp:docPr id="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tabs>
        <w:tab w:val="center" w:leader="none" w:pos="4252"/>
        <w:tab w:val="right" w:leader="none" w:pos="8504"/>
      </w:tabs>
      <w:spacing w:after="0" w:line="240" w:lineRule="auto"/>
      <w:rPr>
        <w:b w:val="1"/>
        <w:bCs w:val="1"/>
        <w:sz w:val="44"/>
        <w:szCs w:val="4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jc w:val="right"/>
    </w:pPr>
    <w:rPr>
      <w:rFonts w:ascii="Arial Narrow" w:cs="Arial Narrow" w:eastAsia="Arial Narrow" w:hAnsi="Arial Narrow"/>
      <w:b w:val="1"/>
      <w:bCs w:val="1"/>
      <w:color w:val="808080"/>
      <w:sz w:val="96"/>
      <w:szCs w:val="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nhideWhenUsed w:val="1"/>
    <w:rsid w:val="00847A4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semiHidden w:val="1"/>
    <w:rsid w:val="00847A47"/>
  </w:style>
  <w:style w:type="paragraph" w:styleId="Piedepgina">
    <w:name w:val="footer"/>
    <w:basedOn w:val="Normal"/>
    <w:link w:val="PiedepginaCar"/>
    <w:uiPriority w:val="99"/>
    <w:unhideWhenUsed w:val="1"/>
    <w:rsid w:val="00847A4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47A47"/>
  </w:style>
  <w:style w:type="paragraph" w:styleId="Textodeglobo">
    <w:name w:val="Balloon Text"/>
    <w:basedOn w:val="Normal"/>
    <w:link w:val="TextodegloboCar"/>
    <w:uiPriority w:val="99"/>
    <w:semiHidden w:val="1"/>
    <w:unhideWhenUsed w:val="1"/>
    <w:rsid w:val="00847A4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47A47"/>
    <w:rPr>
      <w:rFonts w:ascii="Tahoma" w:cs="Tahoma" w:hAnsi="Tahoma"/>
      <w:sz w:val="16"/>
      <w:szCs w:val="16"/>
    </w:rPr>
  </w:style>
  <w:style w:type="character" w:styleId="Ttulo4Car" w:customStyle="1">
    <w:name w:val="Título 4 Car"/>
    <w:basedOn w:val="Fuentedeprrafopredeter"/>
    <w:link w:val="Ttulo4"/>
    <w:rsid w:val="004C6948"/>
    <w:rPr>
      <w:rFonts w:ascii="Arial Narrow" w:cs="Arial" w:eastAsia="Times New Roman" w:hAnsi="Arial Narrow"/>
      <w:b w:val="1"/>
      <w:bCs w:val="1"/>
      <w:color w:val="808080"/>
      <w:sz w:val="96"/>
      <w:szCs w:val="20"/>
      <w:lang w:eastAsia="es-ES"/>
    </w:rPr>
  </w:style>
  <w:style w:type="paragraph" w:styleId="NotadePrensa-Cuerpo" w:customStyle="1">
    <w:name w:val="Nota de Prensa-Cuerpo"/>
    <w:basedOn w:val="Sangradetextonormal"/>
    <w:rsid w:val="004C6948"/>
    <w:pPr>
      <w:spacing w:after="0" w:line="240" w:lineRule="auto"/>
      <w:ind w:left="1980" w:right="181"/>
      <w:jc w:val="both"/>
    </w:pPr>
    <w:rPr>
      <w:rFonts w:ascii="Arial" w:cs="Arial" w:eastAsia="Times New Roman" w:hAnsi="Arial"/>
      <w:sz w:val="24"/>
      <w:szCs w:val="24"/>
      <w:lang w:eastAsia="es-ES"/>
    </w:rPr>
  </w:style>
  <w:style w:type="paragraph" w:styleId="Sangradetextonormal">
    <w:name w:val="Body Text Indent"/>
    <w:basedOn w:val="Normal"/>
    <w:link w:val="SangradetextonormalCar"/>
    <w:uiPriority w:val="99"/>
    <w:semiHidden w:val="1"/>
    <w:unhideWhenUsed w:val="1"/>
    <w:rsid w:val="004C6948"/>
    <w:pPr>
      <w:spacing w:after="120"/>
      <w:ind w:left="283"/>
    </w:pPr>
  </w:style>
  <w:style w:type="character" w:styleId="SangradetextonormalCar" w:customStyle="1">
    <w:name w:val="Sangría de texto normal Car"/>
    <w:basedOn w:val="Fuentedeprrafopredeter"/>
    <w:link w:val="Sangradetextonormal"/>
    <w:uiPriority w:val="99"/>
    <w:semiHidden w:val="1"/>
    <w:rsid w:val="004C6948"/>
  </w:style>
  <w:style w:type="character" w:styleId="Hipervnculo">
    <w:name w:val="Hyperlink"/>
    <w:semiHidden w:val="1"/>
    <w:rsid w:val="009E1624"/>
    <w:rPr>
      <w:color w:val="0000ff"/>
      <w:u w:val="single"/>
    </w:rPr>
  </w:style>
  <w:style w:type="paragraph" w:styleId="Estilo2" w:customStyle="1">
    <w:name w:val="Estilo2"/>
    <w:basedOn w:val="Normal"/>
    <w:next w:val="Normal"/>
    <w:rsid w:val="006C4E95"/>
    <w:pPr>
      <w:spacing w:after="0" w:line="240" w:lineRule="auto"/>
      <w:jc w:val="both"/>
    </w:pPr>
    <w:rPr>
      <w:rFonts w:ascii="Arial" w:cs="Arial" w:eastAsia="Times New Roman" w:hAnsi="Arial"/>
      <w:b w:val="1"/>
      <w:sz w:val="24"/>
      <w:szCs w:val="20"/>
      <w:lang w:eastAsia="es-ES"/>
    </w:rPr>
  </w:style>
  <w:style w:type="table" w:styleId="Tablaconcuadrcula">
    <w:name w:val="Table Grid"/>
    <w:basedOn w:val="Tablanormal"/>
    <w:uiPriority w:val="59"/>
    <w:rsid w:val="009541E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UNO" w:customStyle="1">
    <w:name w:val="UNO"/>
    <w:basedOn w:val="Normal"/>
    <w:next w:val="Normal"/>
    <w:autoRedefine w:val="1"/>
    <w:rsid w:val="00AB4AB1"/>
    <w:pPr>
      <w:spacing w:after="0" w:line="240" w:lineRule="auto"/>
      <w:outlineLvl w:val="0"/>
    </w:pPr>
    <w:rPr>
      <w:rFonts w:ascii="Arial" w:cs="Arial" w:eastAsia="Times New Roman" w:hAnsi="Arial"/>
      <w:b w:val="1"/>
      <w:caps w:val="1"/>
      <w:sz w:val="32"/>
      <w:szCs w:val="20"/>
      <w:lang w:eastAsia="es-ES"/>
    </w:rPr>
  </w:style>
  <w:style w:type="character" w:styleId="lrzxr" w:customStyle="1">
    <w:name w:val="lrzxr"/>
    <w:basedOn w:val="Fuentedeprrafopredeter"/>
    <w:rsid w:val="00B1056F"/>
  </w:style>
  <w:style w:type="character" w:styleId="Mencinsinresolver1" w:customStyle="1">
    <w:name w:val="Mención sin resolver1"/>
    <w:basedOn w:val="Fuentedeprrafopredeter"/>
    <w:uiPriority w:val="99"/>
    <w:semiHidden w:val="1"/>
    <w:unhideWhenUsed w:val="1"/>
    <w:rsid w:val="00AB0EA0"/>
    <w:rPr>
      <w:color w:val="605e5c"/>
      <w:shd w:color="auto" w:fill="e1dfdd" w:val="clear"/>
    </w:rPr>
  </w:style>
  <w:style w:type="paragraph" w:styleId="Standard" w:customStyle="1">
    <w:name w:val="Standard"/>
    <w:uiPriority w:val="99"/>
    <w:rsid w:val="00EE688C"/>
    <w:pPr>
      <w:suppressAutoHyphens w:val="1"/>
      <w:spacing w:after="0" w:line="240" w:lineRule="auto"/>
      <w:textAlignment w:val="baseline"/>
    </w:pPr>
    <w:rPr>
      <w:rFonts w:ascii="Arial" w:cs="Arial" w:eastAsia="Calibri" w:hAnsi="Arial"/>
      <w:kern w:val="1"/>
      <w:sz w:val="24"/>
      <w:szCs w:val="20"/>
      <w:lang w:eastAsia="zh-CN"/>
    </w:rPr>
  </w:style>
  <w:style w:type="character" w:styleId="Ttulo6Car" w:customStyle="1">
    <w:name w:val="Título 6 Car"/>
    <w:basedOn w:val="Fuentedeprrafopredeter"/>
    <w:link w:val="Ttulo6"/>
    <w:rsid w:val="0048304F"/>
    <w:rPr>
      <w:rFonts w:asciiTheme="majorHAnsi" w:cstheme="majorBidi" w:eastAsiaTheme="majorEastAsia" w:hAnsiTheme="majorHAnsi"/>
      <w:color w:val="243f60" w:themeColor="accent1" w:themeShade="00007F"/>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http://www.asc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vMfI3YztXWoGp2FrugbW7zafg==">CgMxLjAyDmguZ2luZmRtMm82bXl1OAByITFXUG42dTV6bHFMM0k4TVgySEpMaGJIeWdTRGVEY1hhZA==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2025-03-03T13:35:00Z</dcterms:created>
  <dc:creator>W36834U</dc:creator>
</cp:coreProperties>
</file>